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071293">
      <w:pPr>
        <w:spacing w:line="360" w:lineRule="auto"/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cs="宋体"/>
          <w:b/>
          <w:bCs/>
          <w:color w:val="000000"/>
          <w:sz w:val="24"/>
          <w:szCs w:val="24"/>
          <w:lang w:val="en-US" w:eastAsia="zh-CN" w:bidi="zh-TW"/>
        </w:rPr>
        <w:t>一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 w:bidi="zh-TW"/>
        </w:rPr>
        <w:t>、服务内容</w:t>
      </w:r>
    </w:p>
    <w:p w14:paraId="5A171243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1、西安事变纪念馆对外开放40周年发展历程展</w:t>
      </w:r>
    </w:p>
    <w:p w14:paraId="3FAE405C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包括展览设计、基础装修、陈列布展、多媒体系统工程、专家讲座、展览宣传物料制作等；</w:t>
      </w:r>
    </w:p>
    <w:p w14:paraId="41B9886F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2、历史的转折——西安事变史实陈列全国巡展</w:t>
      </w:r>
    </w:p>
    <w:p w14:paraId="674246D7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巡展展板设计、巡展宣传物料的设计与制作、巡展活动策划与实施以及巡展宣传等。</w:t>
      </w:r>
    </w:p>
    <w:p w14:paraId="2A8B35AE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3、服务内容清单如下：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1"/>
        <w:gridCol w:w="645"/>
        <w:gridCol w:w="3665"/>
        <w:gridCol w:w="768"/>
        <w:gridCol w:w="768"/>
        <w:gridCol w:w="2196"/>
      </w:tblGrid>
      <w:tr w14:paraId="58232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noWrap w:val="0"/>
            <w:vAlign w:val="center"/>
          </w:tcPr>
          <w:p w14:paraId="74FC553D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645" w:type="dxa"/>
            <w:noWrap w:val="0"/>
            <w:vAlign w:val="center"/>
          </w:tcPr>
          <w:p w14:paraId="55FA02D4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一级明细</w:t>
            </w:r>
          </w:p>
        </w:tc>
        <w:tc>
          <w:tcPr>
            <w:tcW w:w="3665" w:type="dxa"/>
            <w:noWrap w:val="0"/>
            <w:vAlign w:val="center"/>
          </w:tcPr>
          <w:p w14:paraId="11FFA837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二级明细</w:t>
            </w:r>
          </w:p>
        </w:tc>
        <w:tc>
          <w:tcPr>
            <w:tcW w:w="768" w:type="dxa"/>
            <w:noWrap w:val="0"/>
            <w:vAlign w:val="center"/>
          </w:tcPr>
          <w:p w14:paraId="1085EDFB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768" w:type="dxa"/>
            <w:noWrap w:val="0"/>
            <w:vAlign w:val="center"/>
          </w:tcPr>
          <w:p w14:paraId="25C9D149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2196" w:type="dxa"/>
            <w:noWrap w:val="0"/>
            <w:vAlign w:val="center"/>
          </w:tcPr>
          <w:p w14:paraId="6381EB0C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6148A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restart"/>
            <w:noWrap w:val="0"/>
            <w:vAlign w:val="center"/>
          </w:tcPr>
          <w:p w14:paraId="7E3C8C3D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5" w:type="dxa"/>
            <w:vMerge w:val="restart"/>
            <w:noWrap w:val="0"/>
            <w:vAlign w:val="center"/>
          </w:tcPr>
          <w:p w14:paraId="7CAA1D8E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基础装修</w:t>
            </w:r>
          </w:p>
        </w:tc>
        <w:tc>
          <w:tcPr>
            <w:tcW w:w="3665" w:type="dxa"/>
            <w:noWrap w:val="0"/>
            <w:vAlign w:val="center"/>
          </w:tcPr>
          <w:p w14:paraId="46BA93C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展厅原有部分隔墙装置拆除及垃圾清运</w:t>
            </w:r>
          </w:p>
        </w:tc>
        <w:tc>
          <w:tcPr>
            <w:tcW w:w="768" w:type="dxa"/>
            <w:noWrap w:val="0"/>
            <w:vAlign w:val="center"/>
          </w:tcPr>
          <w:p w14:paraId="09D6A2AE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车</w:t>
            </w:r>
          </w:p>
        </w:tc>
        <w:tc>
          <w:tcPr>
            <w:tcW w:w="768" w:type="dxa"/>
            <w:noWrap w:val="0"/>
            <w:vAlign w:val="center"/>
          </w:tcPr>
          <w:p w14:paraId="11CC21C6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96" w:type="dxa"/>
            <w:noWrap w:val="0"/>
            <w:vAlign w:val="center"/>
          </w:tcPr>
          <w:p w14:paraId="0E81614A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3E7D8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2233BF36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7669F968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2C7D80E8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展厅原有设施及成品保护</w:t>
            </w:r>
          </w:p>
        </w:tc>
        <w:tc>
          <w:tcPr>
            <w:tcW w:w="768" w:type="dxa"/>
            <w:noWrap w:val="0"/>
            <w:vAlign w:val="center"/>
          </w:tcPr>
          <w:p w14:paraId="29A67E81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768" w:type="dxa"/>
            <w:noWrap w:val="0"/>
            <w:vAlign w:val="center"/>
          </w:tcPr>
          <w:p w14:paraId="388DBD9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270</w:t>
            </w:r>
          </w:p>
        </w:tc>
        <w:tc>
          <w:tcPr>
            <w:tcW w:w="2196" w:type="dxa"/>
            <w:noWrap w:val="0"/>
            <w:vAlign w:val="center"/>
          </w:tcPr>
          <w:p w14:paraId="6493D722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669EE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14E31AF4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7C3D502D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6383E29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铝方通吊顶局部修复</w:t>
            </w:r>
          </w:p>
        </w:tc>
        <w:tc>
          <w:tcPr>
            <w:tcW w:w="768" w:type="dxa"/>
            <w:noWrap w:val="0"/>
            <w:vAlign w:val="center"/>
          </w:tcPr>
          <w:p w14:paraId="2BBA4D3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768" w:type="dxa"/>
            <w:noWrap w:val="0"/>
            <w:vAlign w:val="center"/>
          </w:tcPr>
          <w:p w14:paraId="77254C7B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196" w:type="dxa"/>
            <w:noWrap w:val="0"/>
            <w:vAlign w:val="center"/>
          </w:tcPr>
          <w:p w14:paraId="3F68B46A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4106C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1A58A279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0542A52D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69ECD2AE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顶部墙面局部修复喷涂</w:t>
            </w:r>
          </w:p>
        </w:tc>
        <w:tc>
          <w:tcPr>
            <w:tcW w:w="768" w:type="dxa"/>
            <w:noWrap w:val="0"/>
            <w:vAlign w:val="center"/>
          </w:tcPr>
          <w:p w14:paraId="642BE439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768" w:type="dxa"/>
            <w:noWrap w:val="0"/>
            <w:vAlign w:val="center"/>
          </w:tcPr>
          <w:p w14:paraId="7F693BD8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196" w:type="dxa"/>
            <w:noWrap w:val="0"/>
            <w:vAlign w:val="center"/>
          </w:tcPr>
          <w:p w14:paraId="60535454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20756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64085777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1C5D1893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561FC901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地面局部修补</w:t>
            </w:r>
          </w:p>
        </w:tc>
        <w:tc>
          <w:tcPr>
            <w:tcW w:w="768" w:type="dxa"/>
            <w:noWrap w:val="0"/>
            <w:vAlign w:val="center"/>
          </w:tcPr>
          <w:p w14:paraId="25D60F0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768" w:type="dxa"/>
            <w:noWrap w:val="0"/>
            <w:vAlign w:val="center"/>
          </w:tcPr>
          <w:p w14:paraId="5A5D61E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2196" w:type="dxa"/>
            <w:noWrap w:val="0"/>
            <w:vAlign w:val="center"/>
          </w:tcPr>
          <w:p w14:paraId="616B6312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796CD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72A91389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4979ABEA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49937899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墙面基层修补处理</w:t>
            </w:r>
          </w:p>
        </w:tc>
        <w:tc>
          <w:tcPr>
            <w:tcW w:w="768" w:type="dxa"/>
            <w:noWrap w:val="0"/>
            <w:vAlign w:val="center"/>
          </w:tcPr>
          <w:p w14:paraId="45260AD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768" w:type="dxa"/>
            <w:noWrap w:val="0"/>
            <w:vAlign w:val="center"/>
          </w:tcPr>
          <w:p w14:paraId="76F0DF4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2196" w:type="dxa"/>
            <w:noWrap w:val="0"/>
            <w:vAlign w:val="center"/>
          </w:tcPr>
          <w:p w14:paraId="477D4B43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02910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369661B5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673629F2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3C70A3B1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单元板基层</w:t>
            </w:r>
          </w:p>
        </w:tc>
        <w:tc>
          <w:tcPr>
            <w:tcW w:w="768" w:type="dxa"/>
            <w:noWrap w:val="0"/>
            <w:vAlign w:val="center"/>
          </w:tcPr>
          <w:p w14:paraId="6015116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768" w:type="dxa"/>
            <w:noWrap w:val="0"/>
            <w:vAlign w:val="center"/>
          </w:tcPr>
          <w:p w14:paraId="2D2BDB64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196" w:type="dxa"/>
            <w:noWrap w:val="0"/>
            <w:vAlign w:val="center"/>
          </w:tcPr>
          <w:p w14:paraId="33974FE6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6509D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2C25C217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1486140B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13D290C0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单面双层轻钢龙骨隔墙</w:t>
            </w:r>
          </w:p>
        </w:tc>
        <w:tc>
          <w:tcPr>
            <w:tcW w:w="768" w:type="dxa"/>
            <w:noWrap w:val="0"/>
            <w:vAlign w:val="center"/>
          </w:tcPr>
          <w:p w14:paraId="4E4864B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768" w:type="dxa"/>
            <w:noWrap w:val="0"/>
            <w:vAlign w:val="center"/>
          </w:tcPr>
          <w:p w14:paraId="7EDA7CA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196" w:type="dxa"/>
            <w:noWrap w:val="0"/>
            <w:vAlign w:val="center"/>
          </w:tcPr>
          <w:p w14:paraId="1BEC64A4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16CB6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158B0C5A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4F16EF1F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7FC117D6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强电、弱电线路局部改造、灯具移位等</w:t>
            </w:r>
          </w:p>
        </w:tc>
        <w:tc>
          <w:tcPr>
            <w:tcW w:w="768" w:type="dxa"/>
            <w:noWrap w:val="0"/>
            <w:vAlign w:val="center"/>
          </w:tcPr>
          <w:p w14:paraId="77DAFE9E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635394E6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61E479E4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2E884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69A31F06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6511E42B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776AC10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部分部位防水处理</w:t>
            </w:r>
          </w:p>
        </w:tc>
        <w:tc>
          <w:tcPr>
            <w:tcW w:w="768" w:type="dxa"/>
            <w:noWrap w:val="0"/>
            <w:vAlign w:val="center"/>
          </w:tcPr>
          <w:p w14:paraId="1A19155D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2CE7ED1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2A35F243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0B586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restart"/>
            <w:noWrap w:val="0"/>
            <w:vAlign w:val="center"/>
          </w:tcPr>
          <w:p w14:paraId="4205F89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5" w:type="dxa"/>
            <w:vMerge w:val="restart"/>
            <w:noWrap w:val="0"/>
            <w:vAlign w:val="center"/>
          </w:tcPr>
          <w:p w14:paraId="16459F8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陈列布展</w:t>
            </w:r>
          </w:p>
        </w:tc>
        <w:tc>
          <w:tcPr>
            <w:tcW w:w="3665" w:type="dxa"/>
            <w:noWrap w:val="0"/>
            <w:vAlign w:val="center"/>
          </w:tcPr>
          <w:p w14:paraId="0419CC1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</w:p>
        </w:tc>
        <w:tc>
          <w:tcPr>
            <w:tcW w:w="768" w:type="dxa"/>
            <w:noWrap w:val="0"/>
            <w:vAlign w:val="center"/>
          </w:tcPr>
          <w:p w14:paraId="637A38B1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7DFD3E04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443EBA2E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16A4D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1082350B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234B2B7B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17B2FD9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专家咨询</w:t>
            </w:r>
          </w:p>
        </w:tc>
        <w:tc>
          <w:tcPr>
            <w:tcW w:w="768" w:type="dxa"/>
            <w:noWrap w:val="0"/>
            <w:vAlign w:val="center"/>
          </w:tcPr>
          <w:p w14:paraId="2F9BEF5B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人次</w:t>
            </w:r>
          </w:p>
        </w:tc>
        <w:tc>
          <w:tcPr>
            <w:tcW w:w="768" w:type="dxa"/>
            <w:noWrap w:val="0"/>
            <w:vAlign w:val="center"/>
          </w:tcPr>
          <w:p w14:paraId="113812D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96" w:type="dxa"/>
            <w:noWrap w:val="0"/>
            <w:vAlign w:val="center"/>
          </w:tcPr>
          <w:p w14:paraId="25069450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6EF02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5275469E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04A24838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6AC35D1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宣绒布画面高清UV画面</w:t>
            </w:r>
          </w:p>
        </w:tc>
        <w:tc>
          <w:tcPr>
            <w:tcW w:w="768" w:type="dxa"/>
            <w:noWrap w:val="0"/>
            <w:vAlign w:val="center"/>
          </w:tcPr>
          <w:p w14:paraId="11B324AB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768" w:type="dxa"/>
            <w:noWrap w:val="0"/>
            <w:vAlign w:val="center"/>
          </w:tcPr>
          <w:p w14:paraId="18A3B03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260</w:t>
            </w:r>
          </w:p>
        </w:tc>
        <w:tc>
          <w:tcPr>
            <w:tcW w:w="2196" w:type="dxa"/>
            <w:noWrap w:val="0"/>
            <w:vAlign w:val="center"/>
          </w:tcPr>
          <w:p w14:paraId="739BF1D6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3F623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4D26C687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01FAA5D6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296CDE0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定制超薄灯箱制作</w:t>
            </w:r>
          </w:p>
        </w:tc>
        <w:tc>
          <w:tcPr>
            <w:tcW w:w="768" w:type="dxa"/>
            <w:noWrap w:val="0"/>
            <w:vAlign w:val="center"/>
          </w:tcPr>
          <w:p w14:paraId="442FB33B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768" w:type="dxa"/>
            <w:noWrap w:val="0"/>
            <w:vAlign w:val="center"/>
          </w:tcPr>
          <w:p w14:paraId="5D77D6DD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96" w:type="dxa"/>
            <w:noWrap w:val="0"/>
            <w:vAlign w:val="center"/>
          </w:tcPr>
          <w:p w14:paraId="354BB8B1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74329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6324DFF0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525BE474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20A12B1C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定制艺术画装裱标贴</w:t>
            </w:r>
          </w:p>
        </w:tc>
        <w:tc>
          <w:tcPr>
            <w:tcW w:w="768" w:type="dxa"/>
            <w:noWrap w:val="0"/>
            <w:vAlign w:val="center"/>
          </w:tcPr>
          <w:p w14:paraId="00B6A9E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768" w:type="dxa"/>
            <w:noWrap w:val="0"/>
            <w:vAlign w:val="center"/>
          </w:tcPr>
          <w:p w14:paraId="05D452C6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196" w:type="dxa"/>
            <w:noWrap w:val="0"/>
            <w:vAlign w:val="center"/>
          </w:tcPr>
          <w:p w14:paraId="10CFA332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319EE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1CA8644F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1DFDE941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70A62C0E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亚克力发光字</w:t>
            </w:r>
          </w:p>
        </w:tc>
        <w:tc>
          <w:tcPr>
            <w:tcW w:w="768" w:type="dxa"/>
            <w:noWrap w:val="0"/>
            <w:vAlign w:val="center"/>
          </w:tcPr>
          <w:p w14:paraId="43512D1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768" w:type="dxa"/>
            <w:noWrap w:val="0"/>
            <w:vAlign w:val="center"/>
          </w:tcPr>
          <w:p w14:paraId="6438E5A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96" w:type="dxa"/>
            <w:noWrap w:val="0"/>
            <w:vAlign w:val="center"/>
          </w:tcPr>
          <w:p w14:paraId="16E4D75B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59BCB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1F011FE8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481AB21B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37FD54A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定制艺术造型装置</w:t>
            </w:r>
          </w:p>
        </w:tc>
        <w:tc>
          <w:tcPr>
            <w:tcW w:w="768" w:type="dxa"/>
            <w:noWrap w:val="0"/>
            <w:vAlign w:val="center"/>
          </w:tcPr>
          <w:p w14:paraId="18C8402B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2564405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12384665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252D3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7EC717C1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1A143D29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4DE9EE8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定制艺术微缩场景</w:t>
            </w:r>
          </w:p>
        </w:tc>
        <w:tc>
          <w:tcPr>
            <w:tcW w:w="768" w:type="dxa"/>
            <w:noWrap w:val="0"/>
            <w:vAlign w:val="center"/>
          </w:tcPr>
          <w:p w14:paraId="11EF3C1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012FAE47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19D2F5A0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37C59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4CE947A4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78B443A5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1DDC9041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定制展台展架+复制品制作</w:t>
            </w:r>
          </w:p>
        </w:tc>
        <w:tc>
          <w:tcPr>
            <w:tcW w:w="768" w:type="dxa"/>
            <w:noWrap w:val="0"/>
            <w:vAlign w:val="center"/>
          </w:tcPr>
          <w:p w14:paraId="2A6F5E7D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54454E41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6DAC4D2D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0FCDD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0C23CE04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59982285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4BF75F81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定制互动艺术装置</w:t>
            </w:r>
          </w:p>
        </w:tc>
        <w:tc>
          <w:tcPr>
            <w:tcW w:w="768" w:type="dxa"/>
            <w:noWrap w:val="0"/>
            <w:vAlign w:val="center"/>
          </w:tcPr>
          <w:p w14:paraId="71BD6361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56EDA38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2E8AA34A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15BFD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6FDAD8CB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310A3FBD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4B30C931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定制说明牌</w:t>
            </w:r>
          </w:p>
        </w:tc>
        <w:tc>
          <w:tcPr>
            <w:tcW w:w="768" w:type="dxa"/>
            <w:noWrap w:val="0"/>
            <w:vAlign w:val="center"/>
          </w:tcPr>
          <w:p w14:paraId="414F7A9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21022928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7AB472E7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33767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2A80A70D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0E8BEA77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0FF8A55C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展厅专业照明调试</w:t>
            </w:r>
          </w:p>
        </w:tc>
        <w:tc>
          <w:tcPr>
            <w:tcW w:w="768" w:type="dxa"/>
            <w:noWrap w:val="0"/>
            <w:vAlign w:val="center"/>
          </w:tcPr>
          <w:p w14:paraId="5C207379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0C55C7E0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518C71D5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0B15C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restart"/>
            <w:noWrap w:val="0"/>
            <w:vAlign w:val="center"/>
          </w:tcPr>
          <w:p w14:paraId="266526D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45" w:type="dxa"/>
            <w:vMerge w:val="restart"/>
            <w:noWrap w:val="0"/>
            <w:vAlign w:val="center"/>
          </w:tcPr>
          <w:p w14:paraId="36A0D5FC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多媒体系统工程</w:t>
            </w:r>
          </w:p>
        </w:tc>
        <w:tc>
          <w:tcPr>
            <w:tcW w:w="3665" w:type="dxa"/>
            <w:noWrap w:val="0"/>
            <w:vAlign w:val="center"/>
          </w:tcPr>
          <w:p w14:paraId="6449441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投影机移位安装调试</w:t>
            </w:r>
          </w:p>
        </w:tc>
        <w:tc>
          <w:tcPr>
            <w:tcW w:w="768" w:type="dxa"/>
            <w:noWrap w:val="0"/>
            <w:vAlign w:val="center"/>
          </w:tcPr>
          <w:p w14:paraId="7FF627F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4FA377A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371DEAC7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22FEC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03CB524C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7FF38102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42FCA477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交互一体机移位安装调试</w:t>
            </w:r>
          </w:p>
        </w:tc>
        <w:tc>
          <w:tcPr>
            <w:tcW w:w="768" w:type="dxa"/>
            <w:noWrap w:val="0"/>
            <w:vAlign w:val="center"/>
          </w:tcPr>
          <w:p w14:paraId="4EBE456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64678DAD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55DA9E96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56FA5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5AC87C74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58FE4F91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0EC1348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广告机移位安装调试</w:t>
            </w:r>
          </w:p>
        </w:tc>
        <w:tc>
          <w:tcPr>
            <w:tcW w:w="768" w:type="dxa"/>
            <w:noWrap w:val="0"/>
            <w:vAlign w:val="center"/>
          </w:tcPr>
          <w:p w14:paraId="127E394C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4B521C7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2CFC2CF4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008AD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769EB9F0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4C363ADE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3FD1EED0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互动内容设计开发制作</w:t>
            </w:r>
          </w:p>
        </w:tc>
        <w:tc>
          <w:tcPr>
            <w:tcW w:w="768" w:type="dxa"/>
            <w:noWrap w:val="0"/>
            <w:vAlign w:val="center"/>
          </w:tcPr>
          <w:p w14:paraId="18FCC05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52F978A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56D312E0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4C3CD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10EFDE62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11DAB4C9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23E8D8B6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广告机数字内容制作</w:t>
            </w:r>
          </w:p>
        </w:tc>
        <w:tc>
          <w:tcPr>
            <w:tcW w:w="768" w:type="dxa"/>
            <w:noWrap w:val="0"/>
            <w:vAlign w:val="center"/>
          </w:tcPr>
          <w:p w14:paraId="05E7877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1FA944A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017FD28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dstrike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时长为120秒的原创视频播放资源的拍摄和制作。</w:t>
            </w:r>
          </w:p>
        </w:tc>
      </w:tr>
      <w:tr w14:paraId="11F61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3962F378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3F845389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411D1FA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投影机数字内容制作</w:t>
            </w:r>
          </w:p>
        </w:tc>
        <w:tc>
          <w:tcPr>
            <w:tcW w:w="768" w:type="dxa"/>
            <w:noWrap w:val="0"/>
            <w:vAlign w:val="center"/>
          </w:tcPr>
          <w:p w14:paraId="11F88AE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0B95C38E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6B6C5CD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dstrike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时长180秒的原创视频播放播放资源的拍摄和制作。</w:t>
            </w:r>
          </w:p>
        </w:tc>
      </w:tr>
      <w:tr w14:paraId="0F221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646914D6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0E1DAA81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194360DE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展览全景数据采集</w:t>
            </w:r>
          </w:p>
        </w:tc>
        <w:tc>
          <w:tcPr>
            <w:tcW w:w="768" w:type="dxa"/>
            <w:noWrap w:val="0"/>
            <w:vAlign w:val="center"/>
          </w:tcPr>
          <w:p w14:paraId="289B8DAE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点位</w:t>
            </w:r>
          </w:p>
        </w:tc>
        <w:tc>
          <w:tcPr>
            <w:tcW w:w="768" w:type="dxa"/>
            <w:noWrap w:val="0"/>
            <w:vAlign w:val="center"/>
          </w:tcPr>
          <w:p w14:paraId="4A408E8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260</w:t>
            </w:r>
          </w:p>
        </w:tc>
        <w:tc>
          <w:tcPr>
            <w:tcW w:w="2196" w:type="dxa"/>
            <w:noWrap w:val="0"/>
            <w:vAlign w:val="center"/>
          </w:tcPr>
          <w:p w14:paraId="4C65E45C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19A9C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43271BE6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560AE1D8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217DDA1E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图像数据处理</w:t>
            </w:r>
          </w:p>
        </w:tc>
        <w:tc>
          <w:tcPr>
            <w:tcW w:w="768" w:type="dxa"/>
            <w:noWrap w:val="0"/>
            <w:vAlign w:val="center"/>
          </w:tcPr>
          <w:p w14:paraId="1A08822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768" w:type="dxa"/>
            <w:noWrap w:val="0"/>
            <w:vAlign w:val="center"/>
          </w:tcPr>
          <w:p w14:paraId="7753A58E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2196" w:type="dxa"/>
            <w:noWrap w:val="0"/>
            <w:vAlign w:val="center"/>
          </w:tcPr>
          <w:p w14:paraId="295F80EF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0DC45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58B4F5BC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6229211C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5CEA2267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软件系统测试安装部署</w:t>
            </w:r>
          </w:p>
        </w:tc>
        <w:tc>
          <w:tcPr>
            <w:tcW w:w="768" w:type="dxa"/>
            <w:noWrap w:val="0"/>
            <w:vAlign w:val="center"/>
          </w:tcPr>
          <w:p w14:paraId="57B7B5E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5FF63A2C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29EF4BCE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3EFAC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3C639282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584BCE76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7C7261C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导展视频拍摄</w:t>
            </w:r>
          </w:p>
        </w:tc>
        <w:tc>
          <w:tcPr>
            <w:tcW w:w="768" w:type="dxa"/>
            <w:noWrap w:val="0"/>
            <w:vAlign w:val="center"/>
          </w:tcPr>
          <w:p w14:paraId="2AE2549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4EE788ED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490D3535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6496F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03302EEA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7675A653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17D3E6F7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导展视频特效制作</w:t>
            </w:r>
          </w:p>
        </w:tc>
        <w:tc>
          <w:tcPr>
            <w:tcW w:w="768" w:type="dxa"/>
            <w:noWrap w:val="0"/>
            <w:vAlign w:val="center"/>
          </w:tcPr>
          <w:p w14:paraId="553F25EC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136D1A54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4F7A4D0A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758DE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noWrap w:val="0"/>
            <w:vAlign w:val="center"/>
          </w:tcPr>
          <w:p w14:paraId="3512D378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45" w:type="dxa"/>
            <w:noWrap w:val="0"/>
            <w:vAlign w:val="center"/>
          </w:tcPr>
          <w:p w14:paraId="0118FB17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专家讲座</w:t>
            </w:r>
          </w:p>
        </w:tc>
        <w:tc>
          <w:tcPr>
            <w:tcW w:w="3665" w:type="dxa"/>
            <w:noWrap w:val="0"/>
            <w:vAlign w:val="center"/>
          </w:tcPr>
          <w:p w14:paraId="5A0A001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专家讲座</w:t>
            </w:r>
          </w:p>
        </w:tc>
        <w:tc>
          <w:tcPr>
            <w:tcW w:w="768" w:type="dxa"/>
            <w:noWrap w:val="0"/>
            <w:vAlign w:val="center"/>
          </w:tcPr>
          <w:p w14:paraId="4CDA060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场</w:t>
            </w:r>
          </w:p>
        </w:tc>
        <w:tc>
          <w:tcPr>
            <w:tcW w:w="768" w:type="dxa"/>
            <w:noWrap w:val="0"/>
            <w:vAlign w:val="center"/>
          </w:tcPr>
          <w:p w14:paraId="4854030C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196" w:type="dxa"/>
            <w:noWrap w:val="0"/>
            <w:vAlign w:val="center"/>
          </w:tcPr>
          <w:p w14:paraId="02B9B706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29B38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restart"/>
            <w:noWrap w:val="0"/>
            <w:vAlign w:val="center"/>
          </w:tcPr>
          <w:p w14:paraId="73FB7BA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45" w:type="dxa"/>
            <w:vMerge w:val="restart"/>
            <w:noWrap w:val="0"/>
            <w:vAlign w:val="center"/>
          </w:tcPr>
          <w:p w14:paraId="53092FF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巡展</w:t>
            </w:r>
          </w:p>
        </w:tc>
        <w:tc>
          <w:tcPr>
            <w:tcW w:w="3665" w:type="dxa"/>
            <w:noWrap w:val="0"/>
            <w:vAlign w:val="center"/>
          </w:tcPr>
          <w:p w14:paraId="472164E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巡展展板图文版式设计</w:t>
            </w:r>
          </w:p>
        </w:tc>
        <w:tc>
          <w:tcPr>
            <w:tcW w:w="768" w:type="dxa"/>
            <w:noWrap w:val="0"/>
            <w:vAlign w:val="center"/>
          </w:tcPr>
          <w:p w14:paraId="69364390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7E65CE7C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196" w:type="dxa"/>
            <w:noWrap w:val="0"/>
            <w:vAlign w:val="center"/>
          </w:tcPr>
          <w:p w14:paraId="59D55C6D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dstrike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本次巡展的展览为纪念馆基本陈列《历史的转折——西安事变史实陈列》文字大纲约3万字，包含历史图片及文献近400幅。根据巡展场地情况不同，进行展板设计。</w:t>
            </w:r>
          </w:p>
        </w:tc>
      </w:tr>
      <w:tr w14:paraId="760DD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3B65AD5D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46616C1B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15C50201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巡展展览海报设计、巡展宣传册设计印制</w:t>
            </w:r>
          </w:p>
        </w:tc>
        <w:tc>
          <w:tcPr>
            <w:tcW w:w="768" w:type="dxa"/>
            <w:noWrap w:val="0"/>
            <w:vAlign w:val="center"/>
          </w:tcPr>
          <w:p w14:paraId="6ADA2BA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份</w:t>
            </w:r>
          </w:p>
        </w:tc>
        <w:tc>
          <w:tcPr>
            <w:tcW w:w="768" w:type="dxa"/>
            <w:noWrap w:val="0"/>
            <w:vAlign w:val="center"/>
          </w:tcPr>
          <w:p w14:paraId="34F2A00C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20000</w:t>
            </w:r>
          </w:p>
        </w:tc>
        <w:tc>
          <w:tcPr>
            <w:tcW w:w="2196" w:type="dxa"/>
            <w:noWrap w:val="0"/>
            <w:vAlign w:val="center"/>
          </w:tcPr>
          <w:p w14:paraId="795EEF60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3CEF4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65F2A92E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7649C451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6ADA17D7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巡展宣传视频</w:t>
            </w:r>
          </w:p>
        </w:tc>
        <w:tc>
          <w:tcPr>
            <w:tcW w:w="768" w:type="dxa"/>
            <w:noWrap w:val="0"/>
            <w:vAlign w:val="center"/>
          </w:tcPr>
          <w:p w14:paraId="1ADED5C6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768" w:type="dxa"/>
            <w:noWrap w:val="0"/>
            <w:vAlign w:val="center"/>
          </w:tcPr>
          <w:p w14:paraId="20FF77C0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196" w:type="dxa"/>
            <w:noWrap w:val="0"/>
            <w:vAlign w:val="center"/>
          </w:tcPr>
          <w:p w14:paraId="54ECC2C9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0FFF5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1F6A9388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0E2941E8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624B55E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巡展活动策划</w:t>
            </w:r>
          </w:p>
        </w:tc>
        <w:tc>
          <w:tcPr>
            <w:tcW w:w="768" w:type="dxa"/>
            <w:noWrap w:val="0"/>
            <w:vAlign w:val="center"/>
          </w:tcPr>
          <w:p w14:paraId="2C57BCB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014393E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196" w:type="dxa"/>
            <w:noWrap w:val="0"/>
            <w:vAlign w:val="center"/>
          </w:tcPr>
          <w:p w14:paraId="40104F1D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5CA9B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68807CC2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20D45B2A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674A62FD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巡展展板制作</w:t>
            </w:r>
          </w:p>
        </w:tc>
        <w:tc>
          <w:tcPr>
            <w:tcW w:w="768" w:type="dxa"/>
            <w:noWrap w:val="0"/>
            <w:vAlign w:val="center"/>
          </w:tcPr>
          <w:p w14:paraId="4F79EC7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3518C258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196" w:type="dxa"/>
            <w:noWrap w:val="0"/>
            <w:vAlign w:val="center"/>
          </w:tcPr>
          <w:p w14:paraId="61AFEC6E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trike/>
                <w:dstrike w:val="0"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</w:tr>
      <w:tr w14:paraId="31F41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" w:type="dxa"/>
            <w:vMerge w:val="continue"/>
            <w:noWrap w:val="0"/>
            <w:vAlign w:val="center"/>
          </w:tcPr>
          <w:p w14:paraId="2FB1D52D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645" w:type="dxa"/>
            <w:vMerge w:val="continue"/>
            <w:noWrap w:val="0"/>
            <w:vAlign w:val="center"/>
          </w:tcPr>
          <w:p w14:paraId="6613F9F3">
            <w:pPr>
              <w:spacing w:after="0"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</w:p>
        </w:tc>
        <w:tc>
          <w:tcPr>
            <w:tcW w:w="3665" w:type="dxa"/>
            <w:noWrap w:val="0"/>
            <w:vAlign w:val="center"/>
          </w:tcPr>
          <w:p w14:paraId="6F2C51B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巡展宣传</w:t>
            </w:r>
          </w:p>
        </w:tc>
        <w:tc>
          <w:tcPr>
            <w:tcW w:w="768" w:type="dxa"/>
            <w:noWrap w:val="0"/>
            <w:vAlign w:val="center"/>
          </w:tcPr>
          <w:p w14:paraId="6471640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8" w:type="dxa"/>
            <w:noWrap w:val="0"/>
            <w:vAlign w:val="center"/>
          </w:tcPr>
          <w:p w14:paraId="015F2A04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noWrap w:val="0"/>
            <w:vAlign w:val="center"/>
          </w:tcPr>
          <w:p w14:paraId="7E155040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vertAlign w:val="baseline"/>
                <w:lang w:val="en-US" w:eastAsia="zh-CN" w:bidi="zh-T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《中国文物报》（整版）</w:t>
            </w:r>
          </w:p>
        </w:tc>
      </w:tr>
    </w:tbl>
    <w:p w14:paraId="0CE9E9B8">
      <w:pPr>
        <w:spacing w:line="360" w:lineRule="auto"/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cs="宋体"/>
          <w:b/>
          <w:bCs/>
          <w:color w:val="000000"/>
          <w:sz w:val="24"/>
          <w:szCs w:val="24"/>
          <w:lang w:val="en-US" w:eastAsia="zh-CN" w:bidi="zh-TW"/>
        </w:rPr>
        <w:t>二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 w:bidi="zh-TW"/>
        </w:rPr>
        <w:t>、服务要求</w:t>
      </w:r>
    </w:p>
    <w:p w14:paraId="28BE6002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1、展示内容要求：以1986—2026年发展时间轴为脉络，全面回顾纪念馆40年开放发展历程，以事业发展、业务提升、服务社会为明线，以西安事变旧址群保护历程为暗线，展示历史沿革、馆藏建设、陈列展览、公共教育、学术研究、管理创新、未来展望七大重点。</w:t>
      </w:r>
    </w:p>
    <w:p w14:paraId="64037171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2、展陈形式要求：采用“实物+图文+多媒体”结合模式，拟设置序厅+“奠基立业·艰苦创业”“守藏护宝·薪火相传”“以文化人·服务公众”“深耕学术·创新发展”“凝心聚力·逐梦前行”五个主体篇章+尾厅，共七个部分，设计在符合革命场馆总体基调的基础上，有创新有亮点。</w:t>
      </w:r>
    </w:p>
    <w:p w14:paraId="65144698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3、结构安全要求：展体主体框架采用钢结构或铝合金材质，钢结构必须防锈处理，结构强度、承重性能满足设计及现场使用要求，安装牢固无松动、无晃动、无安全隐患，符合建筑结构安全相关规范标准。</w:t>
      </w:r>
    </w:p>
    <w:p w14:paraId="5DE71413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4、制作工艺要求：所有制作材料符合国家环保及安全标准，户外展项采用耐候、防水、防晒、防腐材料，工艺精细，画面高清、色彩持久，造型装置还原设计效果，无开裂、变形、褪色、脱落等质量问题。</w:t>
      </w:r>
    </w:p>
    <w:p w14:paraId="6FF193AD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5、展厅面积约380平方米，预计展期为6个月。</w:t>
      </w:r>
    </w:p>
    <w:p w14:paraId="50EDC96C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6、巡展安排及形式要求：本次巡展为“历史的转折——西安事变史实陈列”，将选取与西安事变历史相关、红色文化氛围浓厚的城市，合作单位以当地主题鲜明的纪念馆、博物馆、高校博物馆、中小学德育基地为主，通过引进、交流、互展、线上展等方式，计划在全国范围内巡展 5-6 站。</w:t>
      </w:r>
    </w:p>
    <w:p w14:paraId="0CE928B9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7、巡展期间，结合实际情况进行巡展活动策划、展板设计、制作，宣传视频制作等，并进行整体巡展活动宣传。</w:t>
      </w:r>
    </w:p>
    <w:p w14:paraId="50891377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6、服务保障要求：供应商需按约定工期完成全部工作，展期内专人负责对接、维护，出现问题及时响应处置；撤场后彻底清理场地，无施工遗留问题，全程满足采购人现场管理要求。</w:t>
      </w:r>
    </w:p>
    <w:p w14:paraId="5BE2D2E2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7、供应商负责展览期间全程运维值守，定期巡检展陈设施，制定应急方案；遇突发问题及时响应、限时整改，保障展览安全正常运行，杜绝安全隐患。</w:t>
      </w:r>
    </w:p>
    <w:p w14:paraId="4440C087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zh-TW"/>
        </w:rPr>
        <w:t>8、展览结束后，供应商按要求完成展具拆除，不得损坏场地原有设施，彻底清理现场垃圾，将场地恢复至施工前原貌，经采购人确认后离场。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C46856"/>
    <w:rsid w:val="6FBE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2026-06-11T07:35:19Z</dcterms:created>
  <dc:creator>Administrator</dc:creator>
  <cp:lastModifiedBy></cp:lastModifiedBy>
  <dcterms:modified xsi:type="dcterms:W3CDTF">2026-06-11T07:36:07Z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eyJoZGlkIjoiOTNmYzhmNGFmMGQyNDQzOTk0NjQxYTRmNjYxZWY4YWUiLCJ1c2VySWQiOiIyMTkxMDU4MjgifQ==</vt:lpwstr>
  </property>
  <property fmtid="{D5CDD505-2E9C-101B-9397-08002B2CF9AE}" pid="4" name="ICV">
    <vt:lpwstr>7EA1A855CCFB4500A3D437F9FC2B4B67_12</vt:lpwstr>
  </property>
</Properties>
</file>