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FEA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bookmarkEnd w:id="0"/>
    <w:p w14:paraId="2E3A40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631D1B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30552D2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为提升西安职业技术学院的社会知晓度、认可度、美誉度，树立学院品牌，同时提振我院学生的自信心、就业率及社会地位，增强学院招生宣传效果，促进学院高质量发展，拟开展西安职业技术学院年度宣传。按照西安职业技术学院年度重点工作安排结合招生季，开学季、职教周等时间节点，通过多种渠道联动新媒体传播矩阵，塑造西安职业技术学院品牌，全面开展宣传工作。要求各项服务标准符合国家、省、市（行业）强制性标准及采购人要求的合格标准。</w:t>
      </w:r>
    </w:p>
    <w:p w14:paraId="44143C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3.2服务内容及服务要求</w:t>
      </w:r>
    </w:p>
    <w:p w14:paraId="7AD873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3.2.1服务内容</w:t>
      </w:r>
    </w:p>
    <w:p w14:paraId="3B87E4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B6D00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490,000.00</w:t>
      </w:r>
    </w:p>
    <w:p w14:paraId="1B9A6B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490,000.00</w:t>
      </w:r>
    </w:p>
    <w:p w14:paraId="7C04FD5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4C9924C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1500"/>
        <w:gridCol w:w="509"/>
        <w:gridCol w:w="1090"/>
        <w:gridCol w:w="566"/>
        <w:gridCol w:w="678"/>
        <w:gridCol w:w="623"/>
        <w:gridCol w:w="679"/>
        <w:gridCol w:w="679"/>
        <w:gridCol w:w="736"/>
        <w:gridCol w:w="736"/>
      </w:tblGrid>
      <w:tr w14:paraId="471FD7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DE0E0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7F0FE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25BB8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D7A87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CF5A8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90224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19D04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E7974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2ED96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C61AC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4F81E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31D2B6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119A7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32301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外宣项目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BE32EC">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6AE3FC">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490,000.00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55612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FAEA3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租赁和商务服务业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A691A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31027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1D7D8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85575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DEA29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65ACBED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3.2.2服务要求</w:t>
      </w:r>
    </w:p>
    <w:p w14:paraId="7A52E4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A031A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标的名称：外宣项目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04BBFF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39348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E5934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FE6D1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0BCB47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E8395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392B46">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B88F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ascii="仿宋" w:hAnsi="仿宋" w:eastAsia="仿宋" w:cs="仿宋"/>
                <w:color w:val="000000"/>
                <w:sz w:val="23"/>
                <w:szCs w:val="23"/>
                <w:bdr w:val="none" w:color="auto" w:sz="0" w:space="0"/>
              </w:rPr>
              <w:t>1.服务要求</w:t>
            </w:r>
          </w:p>
          <w:p w14:paraId="54E14E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（1）西安城西客运站精准投放     </w:t>
            </w:r>
          </w:p>
          <w:p w14:paraId="14BBD0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入门处(正对发车区)位置投放西安职业技术学院宣传信息，广告牌(约高2.5m*长8m)静态投放，包含宣传信息的撰写、设计、制作。投放周期2个月。</w:t>
            </w:r>
          </w:p>
          <w:p w14:paraId="0EFF7F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（2）西安地铁电视</w:t>
            </w:r>
          </w:p>
          <w:p w14:paraId="71D241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西安地铁1、2、3、4、5、6、9、14号线共计有约2万个电视屏(站屏和车屏),投放西安职业技术学院宣传片，每天每条线路投放16次(侧重地铁3号线投放频率)，每次30秒，投放15天。</w:t>
            </w:r>
          </w:p>
          <w:p w14:paraId="16BD82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通过央媒、省媒、市媒等平台，加强对学院办学特色、育人成效方面的宣传推送，含图文、视频等。重点对接人民日报、人民网、光明日报、光明网、新华网、中国教育报、中国教育新闻网等中央媒体，市级宣传以西安发布为核心阵地。全年宣传刊发稿件总量不少于80篇，其中央媒刊发稿件不少于45 篇。</w:t>
            </w:r>
          </w:p>
          <w:p w14:paraId="600D02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（4）策划拍摄制作短视频20部，单部时长均不少于1分钟；依托抖音平台开展学院宣传推广，20部短视频累计总浏览量不低于1000万次。</w:t>
            </w:r>
          </w:p>
          <w:p w14:paraId="690F85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（5）合作期内，通过西安广播电视台的融媒体资源，助力西安职业技术学院提升官微的影响力及关注度，使官微粉丝数及文章阅读量显著提高。</w:t>
            </w:r>
          </w:p>
          <w:p w14:paraId="7B222A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（6）西安广播电视台电视投放</w:t>
            </w:r>
          </w:p>
          <w:p w14:paraId="63B1DD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西安广播电视台新闻综合频道19:40《西安新闻》前播出30秒品牌形象宣传片，播出30次。</w:t>
            </w:r>
          </w:p>
          <w:p w14:paraId="088D4C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2.技术要求</w:t>
            </w:r>
          </w:p>
          <w:p w14:paraId="77C9B7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(一)动态播出：播出的视频均为高清格式(≥)：1080*1920，音频为MP3格式。</w:t>
            </w:r>
          </w:p>
          <w:p w14:paraId="3D9954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(二)静态投放：投放的静态图片，均符合投放尺寸要求，且为高清格式。</w:t>
            </w:r>
          </w:p>
          <w:p w14:paraId="333FF1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三)短视频拍摄：专业级摄影机及以上标准设备拍摄。拍摄素材分辨率为(≥)：3840×2160p,25fps格式。成片标准(≥)：分辨率1920×1080p,25fps;格式prores422mov。运用电影手法进行拍摄，拍摄过程中注重画面构图、灯光造型及人员的表情动作，拍摄画面具备艺术美感。其他辅助拍摄器材为电动滑轨及专业脚架等辅助拍摄器材。</w:t>
            </w:r>
          </w:p>
          <w:p w14:paraId="503A4A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（1）创作总思路。拍摄做到：“主题事件化，事件故事化、故事人物化、人物细节化、细节画面化。”来突出体现西安职业技术学院在技能人才培养方面的特色，客观纪实，声画并茂，同期声的运用。</w:t>
            </w:r>
          </w:p>
          <w:p w14:paraId="7E158A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拍摄。要求采用固定机位、移动机位和航拍等多种手段，对学校有代表性建筑景观、教学场景、技能实操等进行系统拍摄，拍摄素材分辨率(≥):4k3840×2160。航拍器材为最新的影像处理系统,包含多种硬件编码器，支持各种码流录制和高清视频。航拍手法运用灵活，拍摄画面平滑优美。拍摄画面要求稳定无抖动、曝光准确一致、天空细节完好，楼体无过曝，航拍画面突出纵深，突出空间感。</w:t>
            </w:r>
          </w:p>
          <w:p w14:paraId="0E9AF7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灯光设备。要求专业级灯光设备要求影视灯光具有较高且可以精细调节的亮度，色温可调。要求影视灯光具有较高且可以精细调节的亮度，以及更宽广的色温可调区间。合理布置灯光加强画面立体感的塑造，通过不同的灯光运用方式对被摄体进行艺术性描绘，表现特定的艺术效果。</w:t>
            </w:r>
          </w:p>
          <w:p w14:paraId="093972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后期剪辑。采用非线性编辑系统，4k记录格式，输出格式为高效率高质量的后期剪辑采用非线性编辑系统，4k记录格式，输出格式为高效率，高质量的HD1920×1080p格式。有内置下拉变换器，实现HDSDI标清信号输出，内置上拉变换器，实现HDSDI高清信号输入。</w:t>
            </w:r>
          </w:p>
          <w:p w14:paraId="09F529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5）后期制作。后期调色，采用后期调色系统，对宣传片进行一二级调色，多点跟踪、模糊等调色流程。后期字幕广播级字幕系统。字幕系统采用字幕分屏式设计制作，播出简单直观。能够同屏实现人物名称、节目名称、对白唱词等字幕功能。</w:t>
            </w:r>
          </w:p>
          <w:p w14:paraId="30A5CC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服务节点要求：(1)按照西安职业技术学院年度重点工作安排以及招生季时间节点，整体宣传工作计划。结合开学季、职教周等时间节点，通过户外形象展示、联动新媒体传播矩阵，塑造西安职业技术学院品牌，为后续招生工作奠定基础。</w:t>
            </w:r>
          </w:p>
          <w:p w14:paraId="6236A0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以西安职业技术学院招生宣传融媒体中心为宣传阵地，联动各级媒体、互联网、新媒体等融媒体资源，以央媒、省媒、市媒等平台、西安广播电视台、西安地铁电视、西安城西客运站、报纸官媒等宣传形式，进行深入报道，通过全媒体、立体化的宣传，助推西安职业技术学院招生工作覆盖面更广、宣传力度更大、社会知名度更高，助推招生宣传工作稳步开展。</w:t>
            </w:r>
          </w:p>
          <w:p w14:paraId="478204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集中总结西安职业技术学院宣传工作的成果和亮点，以及在职业教育改革中的贡献及影响力。梳理本年度西安职业技术学院品牌形象的曝光度，持续提升西安职业技术学院品牌影响力，进一步提升学院的社会地位。</w:t>
            </w:r>
          </w:p>
          <w:p w14:paraId="1BCD69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（4）通过采取科学合理、针对性强的技术组织和实施方法将项目实施进度控制在采购人所要求的合理时间节点内。</w:t>
            </w:r>
          </w:p>
          <w:p w14:paraId="3D1005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（5）提供不少于3服务质保期。</w:t>
            </w:r>
          </w:p>
          <w:p w14:paraId="7BFBFD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4.标准要求：（1）播出、投放、推送等均需完成服务内容要求的数量和各项技术指标的要求。</w:t>
            </w:r>
          </w:p>
          <w:p w14:paraId="3610B5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短视频的拍摄制作要根据整体项目完成有创意、有内容、有步骤的策划文案。每个短视频均需有文字解说词、分镜头脚本及相应的分镜头执行脚本。后期剪辑制作采用非线性编辑系统，4K记录格式，输出格式为高效率、高质量的HD1920*1080格式。有计划、有策略地进行投放，并保证视频的各项数据不低于同行标准，能确保整体项目整体内容平稳输出、正常拍摄及视频推广。建立项目高质量保证体系，对整体活动项目的策划、实施及宣传渠道推广等内容的保障措施。实现对拍摄全过程各因素的控制，建立从前期勘察、现场摄影直至提供成品服务的质量保证体系。为保证和提高宣传片质量而采用的一套科学管理方法。</w:t>
            </w:r>
          </w:p>
          <w:p w14:paraId="6C7B4A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（3）各项服务标准符合国家、省、市（行业）强制性标准及采购人要求的合格标准。</w:t>
            </w:r>
          </w:p>
          <w:p w14:paraId="4FE5CD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3D1934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5.其他要求</w:t>
            </w:r>
          </w:p>
          <w:p w14:paraId="393BFF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（1）服务方须指派专属人员与采购人联系服务事宜，服务响应时间应根据采购人实际安排随时调整。</w:t>
            </w:r>
          </w:p>
          <w:p w14:paraId="5B2F72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（2）服务方需根据服务实际情况编制服务方案、管理方案、服务计划、重点难点分析、质量控制、整改意见及措施、合理化建议等方案措施。</w:t>
            </w:r>
          </w:p>
          <w:p w14:paraId="6CADBC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（3）服务过程中，严格遵守各种管理规定及规章制度，做到奉公守法、诚实守信、廉洁自律、安全文明；服务过程中如发生工伤及意外事故由服务单位负责。</w:t>
            </w:r>
          </w:p>
          <w:p w14:paraId="1FEC7E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（4）服务方拟投入的服务人员对于在工作中获悉的一切工作的信息应严格保守秘密，不得泄露；对于违反者，给采购人单位造成不良社会影响的，或给采购人单位造成损失的，由服务方承担赔偿责任。</w:t>
            </w:r>
          </w:p>
          <w:p w14:paraId="541CFB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（5）严格按照国家、陕西省、西安市有关规定及采购人要求进行服务，不得随意更改或者变换服务内容，每项服务内容在实施前应事先取得采购人的落实后方可实施。</w:t>
            </w:r>
          </w:p>
          <w:p w14:paraId="4DFE2F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（6）项目服务完成后，要妥善保管有关各方提供的各类资料，按采购人要求提供相关资料并进行收集、整理、装订成册，交付采购人归档保存。</w:t>
            </w:r>
          </w:p>
        </w:tc>
      </w:tr>
    </w:tbl>
    <w:p w14:paraId="010E3A9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3.2.3人员配置要求</w:t>
      </w:r>
    </w:p>
    <w:p w14:paraId="228FF56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58395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方根据项目服务要求及特性，自行配置履行合同所必需的专业服务团队(不限于项目负责人、策划、编导、拍摄人员、配音员、后期制作人员、投放执行人员等)，自行组织实施与管理，相关人员经过严格培训，具有相关工作经验，能够胜任项目工作，保证项目顺利实施。服务队伍稳定，保证整个项目顺利完成，服务商未经采购人同意，不得擅自更换本项目在响应文件中指定的服务人员。</w:t>
      </w:r>
    </w:p>
    <w:p w14:paraId="29C6DA1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3.2.4设施设备要求</w:t>
      </w:r>
    </w:p>
    <w:p w14:paraId="267DD1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94F833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服务方根据项目采购项目特性及要求，自行配置投入履行合同所必需的各类设施设备(不限于摄影机、航拍器、影视灯光、录音、字幕、调色、编辑/制作、投放监测等)、工具、软件等），保证项目顺利实施。</w:t>
      </w:r>
    </w:p>
    <w:p w14:paraId="44EA32C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3.2.5其他要求</w:t>
      </w:r>
    </w:p>
    <w:p w14:paraId="73A4D1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E19BE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按总价进行报价。供应商的磋商报价是供应商响应磋商项目要求的全部工作内容的价格体现，包括供应商完成本项目所需的直接费用、间接费、利润、税金及其它相关的一切费用，包括但不限于：制作费、宣传费、设备使用费、社保、取暖费、降温费、人员工资、保险费、管理费、验收费、服务费（含售后）、利润和税金等全部费用；在提供服务的过程中的任何遗漏，均由成交供应商免费提供，采购人将不再支付任何费用。 （二）本项目标的所属行业为： 租赁和商务服务业 （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3EC3F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3.3商务要求</w:t>
      </w:r>
    </w:p>
    <w:p w14:paraId="4E254A8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3.3.1服务期限</w:t>
      </w:r>
    </w:p>
    <w:p w14:paraId="6378625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236731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自合同签订生效之日起至本项目所有内容全部完成，且最长不超过365个日历日</w:t>
      </w:r>
    </w:p>
    <w:p w14:paraId="435D6F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3.3.2服务地点</w:t>
      </w:r>
    </w:p>
    <w:p w14:paraId="1F652FD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DA4F0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西安职业技术学院(具体按采购人指定地点)</w:t>
      </w:r>
    </w:p>
    <w:p w14:paraId="7C5247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3.3.3考核（验收）标准和方法</w:t>
      </w:r>
    </w:p>
    <w:p w14:paraId="0F501D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AAC90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另一个重要依据。没有国家标准的，可以参考行业标准。采购人根据采购文件、合同等相关文件，进行验收，确认服务标准和服务方式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具体按拟签订采购合同相关条款执行。</w:t>
      </w:r>
    </w:p>
    <w:p w14:paraId="516EEA2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3.3.4支付方式</w:t>
      </w:r>
    </w:p>
    <w:p w14:paraId="7FCA2C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518BD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2D55F34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3.3.5支付约定</w:t>
      </w:r>
    </w:p>
    <w:p w14:paraId="3BBBF9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2DCB29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预付款，自本合同签订生效(付款前服务商应出具等值发票交至采购人，采购人以银行转账方式支付)后，达到付款条件起10个工作日内，支付合同总金额的40.0%</w:t>
      </w:r>
    </w:p>
    <w:p w14:paraId="4F8251F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其他，项目结束并经书面验收合格(付款前服务商应出具等值发票交至采购人，采购人以银行转账方式支付；其他具体按拟签订采购合同相关条款执行)后，达到付款条件起10个工作日内，支付合同总金额的60.0%</w:t>
      </w:r>
    </w:p>
    <w:p w14:paraId="336006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3.3.6违约责任及解决争议的方法</w:t>
      </w:r>
    </w:p>
    <w:p w14:paraId="61E0A4E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C32DF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1916518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3.4其他要求</w:t>
      </w:r>
    </w:p>
    <w:p w14:paraId="160D81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494B380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CA6894"/>
    <w:rsid w:val="76CA6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2026-06-25T07:25:00Z</dcterms:created>
  <dc:creator>杜航</dc:creator>
  <cp:lastModifiedBy>杜航</cp:lastModifiedBy>
  <dcterms:modified xsi:type="dcterms:W3CDTF">2026-06-25T07:26:19Z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E22D9FDB54E34731A8E5D9FE800A44BC_11</vt:lpwstr>
  </property>
  <property fmtid="{D5CDD505-2E9C-101B-9397-08002B2CF9AE}" pid="4" name="KSOTemplateDocerSaveRecord">
    <vt:lpwstr>eyJoZGlkIjoiNGVjNGI1ZWQxMDUyODY5ZDAxOTAyNjljNjE1NWUwNGQiLCJ1c2VySWQiOiIzMDgwODY2MDYifQ==</vt:lpwstr>
  </property>
</Properties>
</file>