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版本号：SZT2026-SN-XC-ZC-FW-0730.3.14.18.23.24B120260807001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媒体推广与传播项目(二次)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SZT2026-SN-XC-ZC-FW-0730.3.14.18.23.24B1</w:t>
      </w:r>
      <w:r>
        <w:br/>
      </w:r>
      <w:r>
        <w:br/>
      </w:r>
      <w:r>
        <w:br/>
      </w:r>
    </w:p>
    <w:p>
      <w:pPr>
        <w:pStyle w:val="null3"/>
        <w:jc w:val="center"/>
        <w:outlineLvl w:val="5"/>
      </w:pPr>
      <w:r>
        <w:rPr>
          <w:rFonts w:ascii="仿宋_GB2312" w:hAnsi="仿宋_GB2312" w:cs="仿宋_GB2312" w:eastAsia="仿宋_GB2312"/>
          <w:sz w:val="15"/>
          <w:b/>
        </w:rPr>
        <w:t>西安市人民医院（西安市第四医院）</w:t>
      </w:r>
    </w:p>
    <w:p>
      <w:pPr>
        <w:pStyle w:val="null3"/>
        <w:jc w:val="center"/>
        <w:outlineLvl w:val="5"/>
      </w:pPr>
      <w:r>
        <w:rPr>
          <w:rFonts w:ascii="仿宋_GB2312" w:hAnsi="仿宋_GB2312" w:cs="仿宋_GB2312" w:eastAsia="仿宋_GB2312"/>
          <w:sz w:val="15"/>
          <w:b/>
        </w:rPr>
        <w:t>陕西中技招标有限公司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西安市人民医院（西安市第四医院）</w:t>
      </w:r>
      <w:r>
        <w:rPr>
          <w:rFonts w:ascii="仿宋_GB2312" w:hAnsi="仿宋_GB2312" w:cs="仿宋_GB2312" w:eastAsia="仿宋_GB2312"/>
        </w:rPr>
        <w:t>委托，拟对</w:t>
      </w:r>
      <w:r>
        <w:rPr>
          <w:rFonts w:ascii="仿宋_GB2312" w:hAnsi="仿宋_GB2312" w:cs="仿宋_GB2312" w:eastAsia="仿宋_GB2312"/>
        </w:rPr>
        <w:t>媒体推广与传播项目(二次)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SZT2026-SN-XC-ZC-FW-0730.3.14.18.23.24B1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媒体推广与传播项目(二次)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人民医院（西安市第四医院）媒体推广与传播项目主要是紧紧围绕医院中心工作，充分发挥传媒传播特点，主题鲜明、重点突出的进行医院宣传与品牌推广和传播，保持优势学科的知名度，加强重点优势学科的影响力，提升弱势学科的宣传力度。该项目深化与26家精选的社会媒体进行合作，旨在通过加强同这些社会媒体合作频率，采用线上线下融合的创新模式，全方位展示我院的最新医疗技术、特色科室、优质服务等核心竞争力，以此强化医院的社会知名度与良好口碑。同时，能够有效传播医疗健康领域的科学知识，营造一个积极正向的公共舆论环境，助力医院进一步实现高质量发展。 该项目预算总数为195万元（壹佰玖拾伍万元整），规划投入194.38万元（壹佰玖拾肆万叁仟捌佰元整），资金自筹。鉴于社会媒体特殊性质，即其服务供应通常由独家或指定的供应商提供，符合市财政局关于单一来源采购政策的规定，因此该项目拟定采用单一来源采购方式，以确保宣传推广活动的高效执行与传播效果的最大化。</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西安市人民医院（西安市第四医院）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西安市长安区航天新城航天东路155号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029-61220013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郝娜娜、杨艳、李毓菲、陈先德、马帅、赵倩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采购包1：80,000.00元</w:t>
            </w:r>
          </w:p>
          <w:p>
            <w:pPr>
              <w:pStyle w:val="null3"/>
            </w:pPr>
            <w:r>
              <w:rPr>
                <w:rFonts w:ascii="仿宋_GB2312" w:hAnsi="仿宋_GB2312" w:cs="仿宋_GB2312" w:eastAsia="仿宋_GB2312"/>
              </w:rPr>
              <w:t>采购包2：65,000.00元</w:t>
            </w:r>
          </w:p>
          <w:p>
            <w:pPr>
              <w:pStyle w:val="null3"/>
            </w:pPr>
            <w:r>
              <w:rPr>
                <w:rFonts w:ascii="仿宋_GB2312" w:hAnsi="仿宋_GB2312" w:cs="仿宋_GB2312" w:eastAsia="仿宋_GB2312"/>
              </w:rPr>
              <w:t>采购包3：98,000.00元</w:t>
            </w:r>
          </w:p>
          <w:p>
            <w:pPr>
              <w:pStyle w:val="null3"/>
            </w:pPr>
            <w:r>
              <w:rPr>
                <w:rFonts w:ascii="仿宋_GB2312" w:hAnsi="仿宋_GB2312" w:cs="仿宋_GB2312" w:eastAsia="仿宋_GB2312"/>
              </w:rPr>
              <w:t>采购包4：99,800.00元</w:t>
            </w:r>
          </w:p>
          <w:p>
            <w:pPr>
              <w:pStyle w:val="null3"/>
            </w:pPr>
            <w:r>
              <w:rPr>
                <w:rFonts w:ascii="仿宋_GB2312" w:hAnsi="仿宋_GB2312" w:cs="仿宋_GB2312" w:eastAsia="仿宋_GB2312"/>
              </w:rPr>
              <w:t>采购包5：48,000.00元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采购包1：80,000.00元</w:t>
            </w:r>
          </w:p>
          <w:p>
            <w:pPr>
              <w:pStyle w:val="null3"/>
            </w:pPr>
            <w:r>
              <w:rPr>
                <w:rFonts w:ascii="仿宋_GB2312" w:hAnsi="仿宋_GB2312" w:cs="仿宋_GB2312" w:eastAsia="仿宋_GB2312"/>
              </w:rPr>
              <w:t>采购包2：65,000.00元</w:t>
            </w:r>
          </w:p>
          <w:p>
            <w:pPr>
              <w:pStyle w:val="null3"/>
            </w:pPr>
            <w:r>
              <w:rPr>
                <w:rFonts w:ascii="仿宋_GB2312" w:hAnsi="仿宋_GB2312" w:cs="仿宋_GB2312" w:eastAsia="仿宋_GB2312"/>
              </w:rPr>
              <w:t>采购包3：98,000.00元</w:t>
            </w:r>
          </w:p>
          <w:p>
            <w:pPr>
              <w:pStyle w:val="null3"/>
            </w:pPr>
            <w:r>
              <w:rPr>
                <w:rFonts w:ascii="仿宋_GB2312" w:hAnsi="仿宋_GB2312" w:cs="仿宋_GB2312" w:eastAsia="仿宋_GB2312"/>
              </w:rPr>
              <w:t>采购包4：99,800.00元</w:t>
            </w:r>
          </w:p>
          <w:p>
            <w:pPr>
              <w:pStyle w:val="null3"/>
            </w:pPr>
            <w:r>
              <w:rPr>
                <w:rFonts w:ascii="仿宋_GB2312" w:hAnsi="仿宋_GB2312" w:cs="仿宋_GB2312" w:eastAsia="仿宋_GB2312"/>
              </w:rPr>
              <w:t>采购包5：48,000.00元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应向招标代理机构交纳招标代理服务费。招标代理服务费的收取参见国家计委颁布的《招标代理服务收费管理暂行办法》（计价格[2002]1980号）和（发改办价格[2003]857号）中服务类标准下浮30%收取，在领取成交通知书时向采购代理机构一次性交纳。 开户名称：陕西中技招标有限公司 开户行名称：招商银行西安分行营业部 账 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西安市人民医院（西安市第四医院）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西安市人民医院（西安市第四医院）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人民医院（西安市第四医院）媒体推广与传播项目主要是紧紧围绕医院中心工作，充分发挥传媒传播特点，主题鲜明、重点突出的进行医院宣传与品牌推广和传播，保持优势学科的知名度，加强重点优势学科的影响力，提升弱势学科的宣传力度。该项目深化与26家精选的社会媒体进行合作，旨在通过加强同这些社会媒体合作频率，采用线上线下融合的创新模式，全方位展示我院的最新医疗技术、特色科室、优质服务等核心竞争力，以此强化医院的社会知名度与良好口碑。同时，能够有效传播医疗健康领域的科学知识，营造一个积极正向的公共舆论环境，助力医院进一步实现高质量发展。 该项目预算总数为195万元（壹佰玖拾伍万元整），规划投入194.38万元（壹佰玖拾肆万叁仟捌佰元整），资金自筹。鉴于社会媒体特殊性质，即其服务供应通常由独家或指定的供应商提供，符合市财政局关于单一来源采购政策的规定，因此该项目拟定采用单一来源采购方式，以确保宣传推广活动的高效执行与传播效果的最大化。</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第三标段：在《陕西日报》上进行医院品牌推广（平面媒体）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65,000.00</w:t>
      </w:r>
    </w:p>
    <w:p>
      <w:pPr>
        <w:pStyle w:val="null3"/>
      </w:pPr>
      <w:r>
        <w:rPr>
          <w:rFonts w:ascii="仿宋_GB2312" w:hAnsi="仿宋_GB2312" w:cs="仿宋_GB2312" w:eastAsia="仿宋_GB2312"/>
        </w:rPr>
        <w:t>采购包最高限价（元）: 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第十四标段：在人民日报电子阅报栏（媒体形式）进行医院品牌推广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98,000.00</w:t>
      </w:r>
    </w:p>
    <w:p>
      <w:pPr>
        <w:pStyle w:val="null3"/>
      </w:pPr>
      <w:r>
        <w:rPr>
          <w:rFonts w:ascii="仿宋_GB2312" w:hAnsi="仿宋_GB2312" w:cs="仿宋_GB2312" w:eastAsia="仿宋_GB2312"/>
        </w:rPr>
        <w:t>采购包最高限价（元）: 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第十八标段：在陕西网白鹿视频栏目进行医院微视频推广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99,800.00</w:t>
      </w:r>
    </w:p>
    <w:p>
      <w:pPr>
        <w:pStyle w:val="null3"/>
      </w:pPr>
      <w:r>
        <w:rPr>
          <w:rFonts w:ascii="仿宋_GB2312" w:hAnsi="仿宋_GB2312" w:cs="仿宋_GB2312" w:eastAsia="仿宋_GB2312"/>
        </w:rPr>
        <w:t>采购包最高限价（元）: 99,800.00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第二十三标段：在丁香园上进行短视频宣传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48,000.00</w:t>
      </w:r>
    </w:p>
    <w:p>
      <w:pPr>
        <w:pStyle w:val="null3"/>
      </w:pPr>
      <w:r>
        <w:rPr>
          <w:rFonts w:ascii="仿宋_GB2312" w:hAnsi="仿宋_GB2312" w:cs="仿宋_GB2312" w:eastAsia="仿宋_GB2312"/>
        </w:rPr>
        <w:t>采购包最高限价（元）: 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第二十四标段：在二三里资讯上进行医院品牌宣传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标的名称：第三标段：在《陕西日报》上进行医院品牌推广（平面媒体）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color w:val="000000"/>
              </w:rPr>
              <w:t>第三标段：在《陕西日报》上进行医院品牌推广（平面媒体）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color w:val="000000"/>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采写</w:t>
            </w:r>
            <w:r>
              <w:rPr>
                <w:rFonts w:ascii="仿宋_GB2312" w:hAnsi="仿宋_GB2312" w:cs="仿宋_GB2312" w:eastAsia="仿宋_GB2312"/>
                <w:sz w:val="28"/>
                <w:color w:val="000000"/>
              </w:rPr>
              <w:t>1期整版医院相关内容的图文宣传，印刷方式为黑白印刷，刊登版面为《陕西日报》第 7 版——第 12 版。</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8"/>
                <w:color w:val="000000"/>
              </w:rPr>
              <w:t>二、质量要求</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《陕西日报》社应全权负责文稿撰写，保证文稿刊发的质量，医院审核后刊发，按照先期确定的内容和时间如期完成。</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三、提供合法有效的授权委托书。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标的名称：第十四标段：在人民日报电子阅报栏（媒体形式）进行医院品牌推广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第十四标段：在人民日报电子阅报栏（媒体形式）进行医院品牌推广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 在人民日报电子阅报栏播发公益海报，频率为一年15次。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2.制作15张海报并在人民日报电子阅报栏发布。</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3.在人民日报电子阅报栏刊发医院相关视频，频率为3次。</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4.在人民日报电子阅报栏LED滚动播发医院图文作品，频率为不低于100次。</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二、提供合法有效的授权委托书。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标的名称：第十八标段：在陕西网白鹿视频栏目进行医院微视频推广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第十八标段：在陕西网白鹿视频栏目进行医院微视频推广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1.制作12期原创内容微访谈短视频，每期采访视频时长1-5分钟。</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2.要求制作的12期原创短视频，同步在白鹿视频的抖音号、微博、视频号发布。</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二、提供合法有效的授权委托书。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标的名称：第二十三标段：在丁香园上进行短视频宣传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第二十三标段：在丁香园上进行短视频宣传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 制作1期《医护的一天》VLOG视频，时长为2-3分钟。</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 丁香园定制化培训一次</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二、质量要求</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拍摄清晰度为4K 60P；成片输出规格要求：1920*1080 30P，并在丁香园相关视频号渠道发布。</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三、提供合法有效的授权委托书。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标的名称：第二十四标段：在二三里资讯上进行医院品牌宣传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第二十四标段：在二三里资讯上进行医院品牌宣传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1.微博陕西同城热搜上榜≥2次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2.2个爆款热点事件（策划-拍摄-剪辑-制作-全案营销）</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3.话题总曝光≥2000万，同城播放≥500万</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二、质量要求</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拍摄清晰度为4K60P；成片输出规格要求：1920*1080 30P，并在二三里APP、微博上发布。</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三、提供合法有效的授权委托书。</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达到服务要求所必须的人员。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从合同签订之日起一年时间。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