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版本号：ZBZB-2026-296320260723001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虚拟化平台扩容项目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ZBZB-2026-2963</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虚拟化平台扩容项目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ZBZB-2026-2963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虚拟化平台扩容项目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西安市儿童医院虚拟化平台扩容项目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并进行电子签章。</w:t>
      </w:r>
    </w:p>
    <w:p>
      <w:pPr>
        <w:pStyle w:val="null3"/>
      </w:pPr>
      <w:r>
        <w:rPr>
          <w:rFonts w:ascii="仿宋_GB2312" w:hAnsi="仿宋_GB2312" w:cs="仿宋_GB2312" w:eastAsia="仿宋_GB2312"/>
        </w:rPr>
        <w:t>2、授权书：法定代表人授权书（附法定代表人身份证复印件）及被授权人身份证复印件（法定代表人直接参加招标只需提供法定代表人身份证复印件加盖公章）。并进行电子签章。</w:t>
      </w:r>
    </w:p>
    <w:p>
      <w:pPr>
        <w:pStyle w:val="null3"/>
      </w:pPr>
      <w:r>
        <w:rPr>
          <w:rFonts w:ascii="仿宋_GB2312" w:hAnsi="仿宋_GB2312" w:cs="仿宋_GB2312" w:eastAsia="仿宋_GB2312"/>
        </w:rPr>
        <w:t>3、财务状况报告：提供2024年度和2025年度经审计的完整的财务审计报告(成立时间至提交投标文件截止时间不足一年的可提供成立后任意时段的资产负债表)和健全的财务制度，或开标前半年内其基本存款账户开户银行出具的资信证明。并进行电子签章。</w:t>
      </w:r>
    </w:p>
    <w:p>
      <w:pPr>
        <w:pStyle w:val="null3"/>
      </w:pPr>
      <w:r>
        <w:rPr>
          <w:rFonts w:ascii="仿宋_GB2312" w:hAnsi="仿宋_GB2312" w:cs="仿宋_GB2312" w:eastAsia="仿宋_GB2312"/>
        </w:rPr>
        <w:t>4、完税证明：提供2025年6月至今已缴纳的连续三个月的纳税证明或完税证明，依法免税的单位应提供相关证明材料。并进行电子签章。</w:t>
      </w:r>
    </w:p>
    <w:p>
      <w:pPr>
        <w:pStyle w:val="null3"/>
      </w:pPr>
      <w:r>
        <w:rPr>
          <w:rFonts w:ascii="仿宋_GB2312" w:hAnsi="仿宋_GB2312" w:cs="仿宋_GB2312" w:eastAsia="仿宋_GB2312"/>
        </w:rPr>
        <w:t>5、社保缴纳情况：提供2025年6月至今已缴存的连续三个月的社会保障资金缴存单据或社保机构开具的社会保险参保缴费情况证明，依法不需要缴纳社会保障资金的单位应提供相关证明材料。并进行电子签章。</w:t>
      </w:r>
    </w:p>
    <w:p>
      <w:pPr>
        <w:pStyle w:val="null3"/>
      </w:pPr>
      <w:r>
        <w:rPr>
          <w:rFonts w:ascii="仿宋_GB2312" w:hAnsi="仿宋_GB2312" w:cs="仿宋_GB2312" w:eastAsia="仿宋_GB2312"/>
        </w:rPr>
        <w:t>6、所必需的设备和专业技术能力的说明及承诺书：提供具有履行本合同所必需的设备和专业技术能力的说明及承诺书。并进行电子签章。</w:t>
      </w:r>
    </w:p>
    <w:p>
      <w:pPr>
        <w:pStyle w:val="null3"/>
      </w:pPr>
      <w:r>
        <w:rPr>
          <w:rFonts w:ascii="仿宋_GB2312" w:hAnsi="仿宋_GB2312" w:cs="仿宋_GB2312" w:eastAsia="仿宋_GB2312"/>
        </w:rPr>
        <w:t>7、无重大违法记录声明：参加本次采购活动前三年内，在政府采购活动中没有重大违法记录声明。并进行电子签章。</w:t>
      </w:r>
    </w:p>
    <w:p>
      <w:pPr>
        <w:pStyle w:val="null3"/>
      </w:pPr>
      <w:r>
        <w:rPr>
          <w:rFonts w:ascii="仿宋_GB2312" w:hAnsi="仿宋_GB2312" w:cs="仿宋_GB2312" w:eastAsia="仿宋_GB2312"/>
        </w:rPr>
        <w:t>8、信用查询：供应商未被信用中国网站列入失信被执行人和重大税收违法案件名单；未被列入“中国政府采购网”政府采购严重违法失信行为记录名单。并进行电子签章。</w:t>
      </w:r>
    </w:p>
    <w:p>
      <w:pPr>
        <w:pStyle w:val="null3"/>
      </w:pPr>
      <w:r>
        <w:rPr>
          <w:rFonts w:ascii="仿宋_GB2312" w:hAnsi="仿宋_GB2312" w:cs="仿宋_GB2312" w:eastAsia="仿宋_GB2312"/>
        </w:rPr>
        <w:t>9、控股关系：单位负责人为同一人或者存在直接控股、管理关系的不同单位，不得参加同一合同项下的政府采购活动。并进行电子签章。</w:t>
      </w:r>
    </w:p>
    <w:p>
      <w:pPr>
        <w:pStyle w:val="null3"/>
      </w:pPr>
      <w:r>
        <w:rPr>
          <w:rFonts w:ascii="仿宋_GB2312" w:hAnsi="仿宋_GB2312" w:cs="仿宋_GB2312" w:eastAsia="仿宋_GB2312"/>
        </w:rPr>
        <w:t>10、不接受联合体投标：本项目不接受联合体投标。并进行电子签章。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029-85578186-834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代理服务费收费标准：参照国家计委颁发的《招标代理服务收费管理暂⾏办法》（计价格 [2002]1980号）和国家发展和改⾰委员会发改价格【2011】534号⽂规定，经协商由成交供应商按标准下浮20%向采购代理机构⽀付招标代理服务费（包含“招标代理费、会务费（如有）”）。 缴交渠道：转账、⽀票、汇票等（需通过实体账⼾、⼾名及开⼾⾏信息） 名称：陕西正邦招标有限责任公司 开户行：：平安银行股西安分行营业部/平安银行西安分行 账 号：15000090623214 行号：307791041016 备注：请注明费用信息“ZBZB-2026-2963服务费”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西安市儿童医院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陕西正邦招标有限责任公司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联系电话：029-85578186-834</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应对我院业务量持续高速增长带来的资源瓶颈，本项目的目标是构建一个具备高可用性可弹性扩展和高度智能化运维能力的现代化云计算平台，解决现有虚拟化平台的物理资源和承载能力瓶颈，提升可靠性通过架构优化灾备增强和智能故障预警机制，将核心业务连续性指标推向行业顶尖水平，实现智能化引入AI驱动的资源调度、容量预测及运维巡检能力，实现从被动维护到主动运营的转变。</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虚拟化平台扩容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标的名称：虚拟化平台扩容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pPr>
            <w:r>
              <w:rPr>
                <w:rFonts w:ascii="仿宋_GB2312" w:hAnsi="仿宋_GB2312" w:cs="仿宋_GB2312" w:eastAsia="仿宋_GB2312"/>
                <w:sz w:val="20"/>
              </w:rPr>
              <w:t>为应对医院业务量持续高速增长带来的资源瓶颈，本项目的目标是构建一个具备高可用性、可弹性扩展和高度智能化运维能力的现代化云计算平台。</w:t>
            </w:r>
            <w:r>
              <w:rPr>
                <w:rFonts w:ascii="仿宋_GB2312" w:hAnsi="仿宋_GB2312" w:cs="仿宋_GB2312" w:eastAsia="仿宋_GB2312"/>
                <w:sz w:val="20"/>
              </w:rPr>
              <w:t>本次扩容工作不是简单的硬件采购，而是一个系统级的服务升级工程，核心要求是：提升容量：</w:t>
            </w:r>
            <w:r>
              <w:rPr>
                <w:rFonts w:ascii="仿宋_GB2312" w:hAnsi="仿宋_GB2312" w:cs="仿宋_GB2312" w:eastAsia="仿宋_GB2312"/>
                <w:sz w:val="20"/>
              </w:rPr>
              <w:t>解决现有虚拟化平台的物理资源和承载能力瓶颈。提升可靠性：</w:t>
            </w:r>
            <w:r>
              <w:rPr>
                <w:rFonts w:ascii="仿宋_GB2312" w:hAnsi="仿宋_GB2312" w:cs="仿宋_GB2312" w:eastAsia="仿宋_GB2312"/>
                <w:sz w:val="20"/>
              </w:rPr>
              <w:t>通过架构优化、灾备增强和智能故障预警机制，将核心业务连续性指标推向行业顶尖水平。实现智能化：</w:t>
            </w:r>
            <w:r>
              <w:rPr>
                <w:rFonts w:ascii="仿宋_GB2312" w:hAnsi="仿宋_GB2312" w:cs="仿宋_GB2312" w:eastAsia="仿宋_GB2312"/>
                <w:sz w:val="20"/>
              </w:rPr>
              <w:t>引入</w:t>
            </w:r>
            <w:r>
              <w:rPr>
                <w:rFonts w:ascii="仿宋_GB2312" w:hAnsi="仿宋_GB2312" w:cs="仿宋_GB2312" w:eastAsia="仿宋_GB2312"/>
                <w:sz w:val="20"/>
              </w:rPr>
              <w:t>AI驱动的资源调度、容量预测及运维巡检能力，实现从“被动维护”到“主动运营”的转变。</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采购内容：</w:t>
            </w:r>
          </w:p>
          <w:tbl>
            <w:tblPr>
              <w:tblInd w:type="dxa" w:w="135"/>
              <w:tblBorders>
                <w:top w:val="none" w:color="000000" w:sz="4"/>
                <w:left w:val="none" w:color="000000" w:sz="4"/>
                <w:bottom w:val="none" w:color="000000" w:sz="4"/>
                <w:right w:val="none" w:color="000000" w:sz="4"/>
                <w:insideH w:val="none"/>
                <w:insideV w:val="none"/>
              </w:tblBorders>
            </w:tblPr>
            <w:tblGrid>
              <w:gridCol w:w="224"/>
              <w:gridCol w:w="626"/>
              <w:gridCol w:w="425"/>
              <w:gridCol w:w="383"/>
              <w:gridCol w:w="469"/>
              <w:gridCol w:w="425"/>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序号</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货物名称</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数量</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规格</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单价（元）</w:t>
                  </w:r>
                </w:p>
              </w:tc>
              <w:tc>
                <w:tcPr>
                  <w:tcW w:type="dxa" w:w="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总价（元）</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01</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计算虚拟化服务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20500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20500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02</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存储虚拟化服务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15500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15500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03</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网络虚拟化服务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16500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16500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04</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云计算管理模块及运维服务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套</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18000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18000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05</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b/>
                    </w:rPr>
                    <w:t>服务器硬件（核心产品）</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3</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台</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276500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829500</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06</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安装调试</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1</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ind w:firstLine="480"/>
                    <w:jc w:val="both"/>
                  </w:pPr>
                  <w:r>
                    <w:rPr>
                      <w:rFonts w:ascii="仿宋_GB2312" w:hAnsi="仿宋_GB2312" w:cs="仿宋_GB2312" w:eastAsia="仿宋_GB2312"/>
                      <w:sz w:val="20"/>
                    </w:rPr>
                    <w:t>次</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0</w:t>
                  </w:r>
                </w:p>
              </w:tc>
            </w:tr>
            <w:tr>
              <w:tc>
                <w:tcPr>
                  <w:tcW w:type="dxa" w:w="212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right"/>
                  </w:pPr>
                  <w:r>
                    <w:rPr>
                      <w:rFonts w:ascii="仿宋_GB2312" w:hAnsi="仿宋_GB2312" w:cs="仿宋_GB2312" w:eastAsia="仿宋_GB2312"/>
                      <w:sz w:val="20"/>
                    </w:rPr>
                    <w:t>合计：</w:t>
                  </w:r>
                </w:p>
              </w:tc>
              <w:tc>
                <w:tcPr>
                  <w:tcW w:type="dxa" w:w="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60" w:after="60"/>
                    <w:jc w:val="both"/>
                  </w:pPr>
                  <w:r>
                    <w:rPr>
                      <w:rFonts w:ascii="仿宋_GB2312" w:hAnsi="仿宋_GB2312" w:cs="仿宋_GB2312" w:eastAsia="仿宋_GB2312"/>
                      <w:sz w:val="20"/>
                    </w:rPr>
                    <w:t>900000</w:t>
                  </w:r>
                </w:p>
              </w:tc>
            </w:tr>
          </w:tbl>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技术要求：</w:t>
            </w:r>
          </w:p>
          <w:p>
            <w:pPr>
              <w:pStyle w:val="null3"/>
              <w:spacing w:before="165" w:after="75"/>
              <w:ind w:left="420"/>
              <w:jc w:val="both"/>
              <w:outlineLvl w:val="2"/>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计算虚拟化服务模块</w:t>
            </w:r>
            <w:r>
              <w:rPr>
                <w:rFonts w:ascii="仿宋_GB2312" w:hAnsi="仿宋_GB2312" w:cs="仿宋_GB2312" w:eastAsia="仿宋_GB2312"/>
                <w:sz w:val="20"/>
                <w:b/>
                <w:color w:val="000000"/>
              </w:rPr>
              <w:t>（一套）</w:t>
            </w:r>
          </w:p>
          <w:p>
            <w:pPr>
              <w:pStyle w:val="null3"/>
              <w:spacing w:before="60" w:after="60"/>
              <w:ind w:left="570"/>
              <w:jc w:val="left"/>
            </w:pPr>
            <w:r>
              <w:rPr>
                <w:rFonts w:ascii="仿宋_GB2312" w:hAnsi="仿宋_GB2312" w:cs="仿宋_GB2312" w:eastAsia="仿宋_GB2312"/>
                <w:sz w:val="20"/>
              </w:rPr>
              <w:t>1.1.</w:t>
            </w:r>
            <w:r>
              <w:rPr>
                <w:rFonts w:ascii="仿宋_GB2312" w:hAnsi="仿宋_GB2312" w:cs="仿宋_GB2312" w:eastAsia="仿宋_GB2312"/>
                <w:sz w:val="20"/>
              </w:rPr>
              <w:t>高可用性与弹性调度：</w:t>
            </w:r>
            <w:r>
              <w:rPr>
                <w:rFonts w:ascii="仿宋_GB2312" w:hAnsi="仿宋_GB2312" w:cs="仿宋_GB2312" w:eastAsia="仿宋_GB2312"/>
                <w:sz w:val="20"/>
              </w:rPr>
              <w:t>平台必须支持跨物理节点的无感知迁移。（需提</w:t>
            </w:r>
            <w:r>
              <w:rPr>
                <w:rFonts w:ascii="仿宋_GB2312" w:hAnsi="仿宋_GB2312" w:cs="仿宋_GB2312" w:eastAsia="仿宋_GB2312"/>
                <w:sz w:val="20"/>
              </w:rPr>
              <w:t>承诺函</w:t>
            </w:r>
            <w:r>
              <w:rPr>
                <w:rFonts w:ascii="仿宋_GB2312" w:hAnsi="仿宋_GB2312" w:cs="仿宋_GB2312" w:eastAsia="仿宋_GB2312"/>
                <w:sz w:val="20"/>
              </w:rPr>
              <w:t>，并加盖公章）</w:t>
            </w:r>
          </w:p>
          <w:p>
            <w:pPr>
              <w:pStyle w:val="null3"/>
              <w:spacing w:before="60" w:after="60"/>
              <w:ind w:left="570"/>
              <w:jc w:val="left"/>
            </w:pPr>
            <w:r>
              <w:rPr>
                <w:rFonts w:ascii="仿宋_GB2312" w:hAnsi="仿宋_GB2312" w:cs="仿宋_GB2312" w:eastAsia="仿宋_GB2312"/>
                <w:sz w:val="20"/>
              </w:rPr>
              <w:t>1.2.</w:t>
            </w:r>
            <w:r>
              <w:rPr>
                <w:rFonts w:ascii="仿宋_GB2312" w:hAnsi="仿宋_GB2312" w:cs="仿宋_GB2312" w:eastAsia="仿宋_GB2312"/>
                <w:sz w:val="20"/>
              </w:rPr>
              <w:t>提供计算服务虚拟化永久授权软件</w:t>
            </w:r>
            <w:r>
              <w:rPr>
                <w:rFonts w:ascii="仿宋_GB2312" w:hAnsi="仿宋_GB2312" w:cs="仿宋_GB2312" w:eastAsia="仿宋_GB2312"/>
                <w:sz w:val="20"/>
              </w:rPr>
              <w:t>1套（无软件使用有效期限制）</w:t>
            </w:r>
            <w:r>
              <w:rPr>
                <w:rFonts w:ascii="仿宋_GB2312" w:hAnsi="仿宋_GB2312" w:cs="仿宋_GB2312" w:eastAsia="仿宋_GB2312"/>
                <w:sz w:val="20"/>
              </w:rPr>
              <w:t>包含医院现有的</w:t>
            </w:r>
            <w:r>
              <w:rPr>
                <w:rFonts w:ascii="仿宋_GB2312" w:hAnsi="仿宋_GB2312" w:cs="仿宋_GB2312" w:eastAsia="仿宋_GB2312"/>
                <w:sz w:val="20"/>
              </w:rPr>
              <w:t>8台超融合服务器</w:t>
            </w:r>
            <w:r>
              <w:rPr>
                <w:rFonts w:ascii="仿宋_GB2312" w:hAnsi="仿宋_GB2312" w:cs="仿宋_GB2312" w:eastAsia="仿宋_GB2312"/>
                <w:sz w:val="20"/>
              </w:rPr>
              <w:t>，提供不限制容量的备份授权（需提</w:t>
            </w:r>
            <w:r>
              <w:rPr>
                <w:rFonts w:ascii="仿宋_GB2312" w:hAnsi="仿宋_GB2312" w:cs="仿宋_GB2312" w:eastAsia="仿宋_GB2312"/>
                <w:sz w:val="20"/>
              </w:rPr>
              <w:t>承诺函</w:t>
            </w:r>
            <w:r>
              <w:rPr>
                <w:rFonts w:ascii="仿宋_GB2312" w:hAnsi="仿宋_GB2312" w:cs="仿宋_GB2312" w:eastAsia="仿宋_GB2312"/>
                <w:sz w:val="20"/>
              </w:rPr>
              <w:t>，并加盖公章）。</w:t>
            </w:r>
          </w:p>
          <w:p>
            <w:pPr>
              <w:pStyle w:val="null3"/>
              <w:spacing w:before="60" w:after="60"/>
              <w:ind w:left="570"/>
              <w:jc w:val="left"/>
            </w:pPr>
            <w:r>
              <w:rPr>
                <w:rFonts w:ascii="仿宋_GB2312" w:hAnsi="仿宋_GB2312" w:cs="仿宋_GB2312" w:eastAsia="仿宋_GB2312"/>
                <w:sz w:val="20"/>
              </w:rPr>
              <w:t>1.3.</w:t>
            </w:r>
            <w:r>
              <w:rPr>
                <w:rFonts w:ascii="仿宋_GB2312" w:hAnsi="仿宋_GB2312" w:cs="仿宋_GB2312" w:eastAsia="仿宋_GB2312"/>
                <w:sz w:val="20"/>
              </w:rPr>
              <w:t>超融合应提供基于成本最优模式的</w:t>
            </w:r>
            <w:r>
              <w:rPr>
                <w:rFonts w:ascii="仿宋_GB2312" w:hAnsi="仿宋_GB2312" w:cs="仿宋_GB2312" w:eastAsia="仿宋_GB2312"/>
                <w:sz w:val="20"/>
              </w:rPr>
              <w:t>DRS机制，且尽可能的将可靠性低的主机的虚拟机迁移至可靠性高的主机上，从而腾空部分主机，达到提升主机密度的效果，同时通过AI算法可以对虚拟机、主机的性能、可靠性打分，提供调度建议，提升DRS过程中的精准度。支持设置DRS调度时间段（需提供产品功能截图，并加盖公章）。</w:t>
            </w:r>
          </w:p>
          <w:p>
            <w:pPr>
              <w:pStyle w:val="null3"/>
              <w:spacing w:before="60" w:after="60"/>
              <w:ind w:left="570"/>
              <w:jc w:val="left"/>
            </w:pPr>
            <w:r>
              <w:rPr>
                <w:rFonts w:ascii="仿宋_GB2312" w:hAnsi="仿宋_GB2312" w:cs="仿宋_GB2312" w:eastAsia="仿宋_GB2312"/>
                <w:sz w:val="20"/>
              </w:rPr>
              <w:t>1.4.</w:t>
            </w:r>
            <w:r>
              <w:rPr>
                <w:rFonts w:ascii="仿宋_GB2312" w:hAnsi="仿宋_GB2312" w:cs="仿宋_GB2312" w:eastAsia="仿宋_GB2312"/>
                <w:sz w:val="20"/>
              </w:rPr>
              <w:t>我单位原有部分业务部署在</w:t>
            </w:r>
            <w:r>
              <w:rPr>
                <w:rFonts w:ascii="仿宋_GB2312" w:hAnsi="仿宋_GB2312" w:cs="仿宋_GB2312" w:eastAsia="仿宋_GB2312"/>
                <w:sz w:val="20"/>
              </w:rPr>
              <w:t>vmware平台，为保障新平台与原有平台的互操作性，需要支持双向迁移操作，可将vmware虚拟机迁移到平台上，也可将平台上的虚拟机迁移到vmware vCenter的集群中，迁移结束后的虚拟机可进行手动或自动重启操作</w:t>
            </w:r>
            <w:r>
              <w:rPr>
                <w:rFonts w:ascii="仿宋_GB2312" w:hAnsi="仿宋_GB2312" w:cs="仿宋_GB2312" w:eastAsia="仿宋_GB2312"/>
                <w:sz w:val="20"/>
              </w:rPr>
              <w:t>（</w:t>
            </w:r>
            <w:r>
              <w:rPr>
                <w:rFonts w:ascii="仿宋_GB2312" w:hAnsi="仿宋_GB2312" w:cs="仿宋_GB2312" w:eastAsia="仿宋_GB2312"/>
                <w:sz w:val="20"/>
              </w:rPr>
              <w:t>需提供产品功能截图或声明，并加盖公章</w:t>
            </w:r>
            <w:r>
              <w:rPr>
                <w:rFonts w:ascii="仿宋_GB2312" w:hAnsi="仿宋_GB2312" w:cs="仿宋_GB2312" w:eastAsia="仿宋_GB2312"/>
                <w:sz w:val="20"/>
              </w:rPr>
              <w:t>）</w:t>
            </w:r>
            <w:r>
              <w:rPr>
                <w:rFonts w:ascii="仿宋_GB2312" w:hAnsi="仿宋_GB2312" w:cs="仿宋_GB2312" w:eastAsia="仿宋_GB2312"/>
                <w:sz w:val="20"/>
              </w:rPr>
              <w:t>。</w:t>
            </w:r>
          </w:p>
          <w:p>
            <w:pPr>
              <w:pStyle w:val="null3"/>
              <w:spacing w:before="60" w:after="60"/>
              <w:ind w:left="570"/>
              <w:jc w:val="left"/>
            </w:pPr>
            <w:r>
              <w:rPr>
                <w:rFonts w:ascii="仿宋_GB2312" w:hAnsi="仿宋_GB2312" w:cs="仿宋_GB2312" w:eastAsia="仿宋_GB2312"/>
                <w:sz w:val="20"/>
              </w:rPr>
              <w:t>1.5.</w:t>
            </w:r>
            <w:r>
              <w:rPr>
                <w:rFonts w:ascii="仿宋_GB2312" w:hAnsi="仿宋_GB2312" w:cs="仿宋_GB2312" w:eastAsia="仿宋_GB2312"/>
                <w:sz w:val="20"/>
              </w:rPr>
              <w:t>为了保障医院系统的稳定性，可以对有问题服务器标记为亚健康，提醒告警运维人员，可以防止医院系统在亚健康服务器上运行</w:t>
            </w:r>
            <w:r>
              <w:rPr>
                <w:rFonts w:ascii="仿宋_GB2312" w:hAnsi="仿宋_GB2312" w:cs="仿宋_GB2312" w:eastAsia="仿宋_GB2312"/>
                <w:sz w:val="20"/>
              </w:rPr>
              <w:t>（</w:t>
            </w:r>
            <w:r>
              <w:rPr>
                <w:rFonts w:ascii="仿宋_GB2312" w:hAnsi="仿宋_GB2312" w:cs="仿宋_GB2312" w:eastAsia="仿宋_GB2312"/>
                <w:sz w:val="20"/>
              </w:rPr>
              <w:t>需提供产品功能截图或声明，并加盖公章</w:t>
            </w:r>
            <w:r>
              <w:rPr>
                <w:rFonts w:ascii="仿宋_GB2312" w:hAnsi="仿宋_GB2312" w:cs="仿宋_GB2312" w:eastAsia="仿宋_GB2312"/>
                <w:sz w:val="20"/>
              </w:rPr>
              <w:t>）</w:t>
            </w:r>
            <w:r>
              <w:rPr>
                <w:rFonts w:ascii="仿宋_GB2312" w:hAnsi="仿宋_GB2312" w:cs="仿宋_GB2312" w:eastAsia="仿宋_GB2312"/>
                <w:sz w:val="20"/>
              </w:rPr>
              <w:t>。</w:t>
            </w:r>
          </w:p>
          <w:p>
            <w:pPr>
              <w:pStyle w:val="null3"/>
              <w:spacing w:before="60" w:after="60"/>
              <w:ind w:left="570"/>
              <w:jc w:val="left"/>
            </w:pPr>
            <w:r>
              <w:rPr>
                <w:rFonts w:ascii="仿宋_GB2312" w:hAnsi="仿宋_GB2312" w:cs="仿宋_GB2312" w:eastAsia="仿宋_GB2312"/>
                <w:sz w:val="20"/>
              </w:rPr>
              <w:t>1.6.</w:t>
            </w:r>
            <w:r>
              <w:rPr>
                <w:rFonts w:ascii="仿宋_GB2312" w:hAnsi="仿宋_GB2312" w:cs="仿宋_GB2312" w:eastAsia="仿宋_GB2312"/>
                <w:sz w:val="20"/>
              </w:rPr>
              <w:t>支持超融合计算虚拟化平滑扩容，支持无缝加入计算集群，兼容原有</w:t>
            </w:r>
            <w:r>
              <w:rPr>
                <w:rFonts w:ascii="仿宋_GB2312" w:hAnsi="仿宋_GB2312" w:cs="仿宋_GB2312" w:eastAsia="仿宋_GB2312"/>
                <w:sz w:val="20"/>
              </w:rPr>
              <w:t>CPU调度策略、HA高可用、动态迁移、负载均衡机制，并且扩容过程中无需停机（提供平滑扩容过程中业务0中断及功能满足度承诺函，并加盖公章）</w:t>
            </w:r>
          </w:p>
          <w:p>
            <w:pPr>
              <w:pStyle w:val="null3"/>
              <w:spacing w:before="60" w:after="60"/>
              <w:ind w:left="570"/>
              <w:jc w:val="left"/>
            </w:pPr>
            <w:r>
              <w:rPr>
                <w:rFonts w:ascii="仿宋_GB2312" w:hAnsi="仿宋_GB2312" w:cs="仿宋_GB2312" w:eastAsia="仿宋_GB2312"/>
                <w:sz w:val="20"/>
              </w:rPr>
              <w:t>1.7.</w:t>
            </w:r>
            <w:r>
              <w:rPr>
                <w:rFonts w:ascii="仿宋_GB2312" w:hAnsi="仿宋_GB2312" w:cs="仿宋_GB2312" w:eastAsia="仿宋_GB2312"/>
                <w:sz w:val="20"/>
              </w:rPr>
              <w:t>为了在不影响系统的前提下提供完整的备份能力，平台需要提供虚拟机的无代理备份，无备份数据容量限制，可直接将虚拟机备份到磁盘，并支持生成全新虚拟机的方式进行恢复</w:t>
            </w:r>
            <w:r>
              <w:rPr>
                <w:rFonts w:ascii="仿宋_GB2312" w:hAnsi="仿宋_GB2312" w:cs="仿宋_GB2312" w:eastAsia="仿宋_GB2312"/>
                <w:sz w:val="20"/>
              </w:rPr>
              <w:t>（</w:t>
            </w:r>
            <w:r>
              <w:rPr>
                <w:rFonts w:ascii="仿宋_GB2312" w:hAnsi="仿宋_GB2312" w:cs="仿宋_GB2312" w:eastAsia="仿宋_GB2312"/>
                <w:sz w:val="20"/>
              </w:rPr>
              <w:t>需提供产品功能截图或声明，并加盖公章</w:t>
            </w:r>
            <w:r>
              <w:rPr>
                <w:rFonts w:ascii="仿宋_GB2312" w:hAnsi="仿宋_GB2312" w:cs="仿宋_GB2312" w:eastAsia="仿宋_GB2312"/>
                <w:sz w:val="20"/>
              </w:rPr>
              <w:t>）</w:t>
            </w:r>
            <w:r>
              <w:rPr>
                <w:rFonts w:ascii="仿宋_GB2312" w:hAnsi="仿宋_GB2312" w:cs="仿宋_GB2312" w:eastAsia="仿宋_GB2312"/>
                <w:sz w:val="20"/>
              </w:rPr>
              <w:t>。</w:t>
            </w:r>
          </w:p>
          <w:p>
            <w:pPr>
              <w:pStyle w:val="null3"/>
              <w:spacing w:before="60" w:after="60"/>
              <w:ind w:left="570"/>
              <w:jc w:val="left"/>
            </w:pPr>
            <w:r>
              <w:rPr>
                <w:rFonts w:ascii="仿宋_GB2312" w:hAnsi="仿宋_GB2312" w:cs="仿宋_GB2312" w:eastAsia="仿宋_GB2312"/>
                <w:sz w:val="20"/>
              </w:rPr>
              <w:t>1.8.</w:t>
            </w:r>
            <w:r>
              <w:rPr>
                <w:rFonts w:ascii="仿宋_GB2312" w:hAnsi="仿宋_GB2312" w:cs="仿宋_GB2312" w:eastAsia="仿宋_GB2312"/>
                <w:sz w:val="20"/>
              </w:rPr>
              <w:t>为了保障物理服务器及超融合平台运行的稳定性，平台支持对</w:t>
            </w:r>
            <w:r>
              <w:rPr>
                <w:rFonts w:ascii="仿宋_GB2312" w:hAnsi="仿宋_GB2312" w:cs="仿宋_GB2312" w:eastAsia="仿宋_GB2312"/>
                <w:sz w:val="20"/>
              </w:rPr>
              <w:t>raid卡的亚健康问题定位及处置能力，当raid卡卡死时，平台需要及时做对应的策略，避免对其他主机上的业务系统造成影响。（需提供产品功能截图或声明，并加盖公章）。</w:t>
            </w:r>
          </w:p>
          <w:p>
            <w:pPr>
              <w:pStyle w:val="null3"/>
              <w:spacing w:before="60" w:after="60"/>
              <w:ind w:left="570"/>
              <w:jc w:val="left"/>
            </w:pPr>
            <w:r>
              <w:rPr>
                <w:rFonts w:ascii="仿宋_GB2312" w:hAnsi="仿宋_GB2312" w:cs="仿宋_GB2312" w:eastAsia="仿宋_GB2312"/>
                <w:sz w:val="20"/>
              </w:rPr>
              <w:t>1.9.</w:t>
            </w:r>
            <w:r>
              <w:rPr>
                <w:rFonts w:ascii="仿宋_GB2312" w:hAnsi="仿宋_GB2312" w:cs="仿宋_GB2312" w:eastAsia="仿宋_GB2312"/>
                <w:sz w:val="20"/>
              </w:rPr>
              <w:t>为充分利用</w:t>
            </w:r>
            <w:r>
              <w:rPr>
                <w:rFonts w:ascii="仿宋_GB2312" w:hAnsi="仿宋_GB2312" w:cs="仿宋_GB2312" w:eastAsia="仿宋_GB2312"/>
                <w:sz w:val="20"/>
              </w:rPr>
              <w:t>虚拟化</w:t>
            </w:r>
            <w:r>
              <w:rPr>
                <w:rFonts w:ascii="仿宋_GB2312" w:hAnsi="仿宋_GB2312" w:cs="仿宋_GB2312" w:eastAsia="仿宋_GB2312"/>
                <w:sz w:val="20"/>
              </w:rPr>
              <w:t>云平台的资源，虚拟机需要支持内存回收，在内存不用的时候自动回收给其他虚拟机使用，并支持手动设置平台的内存超配比例，实现内存的超分使用（需提供产品功能截图</w:t>
            </w:r>
            <w:r>
              <w:rPr>
                <w:rFonts w:ascii="仿宋_GB2312" w:hAnsi="仿宋_GB2312" w:cs="仿宋_GB2312" w:eastAsia="仿宋_GB2312"/>
                <w:sz w:val="20"/>
              </w:rPr>
              <w:t>或声明</w:t>
            </w:r>
            <w:r>
              <w:rPr>
                <w:rFonts w:ascii="仿宋_GB2312" w:hAnsi="仿宋_GB2312" w:cs="仿宋_GB2312" w:eastAsia="仿宋_GB2312"/>
                <w:sz w:val="20"/>
              </w:rPr>
              <w:t>，并加盖公章）。</w:t>
            </w:r>
          </w:p>
          <w:p>
            <w:pPr>
              <w:pStyle w:val="null3"/>
              <w:spacing w:before="60" w:after="60"/>
              <w:ind w:left="570"/>
              <w:jc w:val="left"/>
            </w:pPr>
            <w:r>
              <w:rPr>
                <w:rFonts w:ascii="仿宋_GB2312" w:hAnsi="仿宋_GB2312" w:cs="仿宋_GB2312" w:eastAsia="仿宋_GB2312"/>
                <w:sz w:val="20"/>
              </w:rPr>
              <w:t>1.10.</w:t>
            </w:r>
            <w:r>
              <w:rPr>
                <w:rFonts w:ascii="仿宋_GB2312" w:hAnsi="仿宋_GB2312" w:cs="仿宋_GB2312" w:eastAsia="仿宋_GB2312"/>
                <w:sz w:val="20"/>
              </w:rPr>
              <w:t>为了保证我单位备份软件的兼容性要求，超融合应提供</w:t>
            </w:r>
            <w:r>
              <w:rPr>
                <w:rFonts w:ascii="仿宋_GB2312" w:hAnsi="仿宋_GB2312" w:cs="仿宋_GB2312" w:eastAsia="仿宋_GB2312"/>
                <w:sz w:val="20"/>
              </w:rPr>
              <w:t>OpenAPI接口和磁盘数据访问SDK，第三方备份软件不需要在云平台或者虚拟机中安装插件即可实现对虚拟机的备份（需提供产品功能截图</w:t>
            </w:r>
            <w:r>
              <w:rPr>
                <w:rFonts w:ascii="仿宋_GB2312" w:hAnsi="仿宋_GB2312" w:cs="仿宋_GB2312" w:eastAsia="仿宋_GB2312"/>
                <w:sz w:val="20"/>
              </w:rPr>
              <w:t>或声明</w:t>
            </w:r>
            <w:r>
              <w:rPr>
                <w:rFonts w:ascii="仿宋_GB2312" w:hAnsi="仿宋_GB2312" w:cs="仿宋_GB2312" w:eastAsia="仿宋_GB2312"/>
                <w:sz w:val="20"/>
              </w:rPr>
              <w:t>，并加盖公章）</w:t>
            </w:r>
            <w:r>
              <w:rPr>
                <w:rFonts w:ascii="仿宋_GB2312" w:hAnsi="仿宋_GB2312" w:cs="仿宋_GB2312" w:eastAsia="仿宋_GB2312"/>
                <w:sz w:val="20"/>
              </w:rPr>
              <w:t>。</w:t>
            </w:r>
          </w:p>
          <w:p>
            <w:pPr>
              <w:pStyle w:val="null3"/>
              <w:spacing w:before="60" w:after="60"/>
              <w:ind w:left="570"/>
              <w:jc w:val="left"/>
            </w:pPr>
            <w:r>
              <w:rPr>
                <w:rFonts w:ascii="仿宋_GB2312" w:hAnsi="仿宋_GB2312" w:cs="仿宋_GB2312" w:eastAsia="仿宋_GB2312"/>
                <w:sz w:val="20"/>
              </w:rPr>
              <w:t>1.11.</w:t>
            </w:r>
            <w:r>
              <w:rPr>
                <w:rFonts w:ascii="仿宋_GB2312" w:hAnsi="仿宋_GB2312" w:cs="仿宋_GB2312" w:eastAsia="仿宋_GB2312"/>
                <w:sz w:val="20"/>
              </w:rPr>
              <w:t>业务兼容性与互操作性：</w:t>
            </w:r>
            <w:r>
              <w:rPr>
                <w:rFonts w:ascii="仿宋_GB2312" w:hAnsi="仿宋_GB2312" w:cs="仿宋_GB2312" w:eastAsia="仿宋_GB2312"/>
                <w:sz w:val="20"/>
              </w:rPr>
              <w:t>平台必须实现对现有</w:t>
            </w:r>
            <w:r>
              <w:rPr>
                <w:rFonts w:ascii="仿宋_GB2312" w:hAnsi="仿宋_GB2312" w:cs="仿宋_GB2312" w:eastAsia="仿宋_GB2312"/>
                <w:sz w:val="20"/>
              </w:rPr>
              <w:t>vmware</w:t>
            </w:r>
            <w:r>
              <w:rPr>
                <w:rFonts w:ascii="仿宋_GB2312" w:hAnsi="仿宋_GB2312" w:cs="仿宋_GB2312" w:eastAsia="仿宋_GB2312"/>
                <w:sz w:val="20"/>
              </w:rPr>
              <w:t>或</w:t>
            </w:r>
            <w:r>
              <w:rPr>
                <w:rFonts w:ascii="仿宋_GB2312" w:hAnsi="仿宋_GB2312" w:cs="仿宋_GB2312" w:eastAsia="仿宋_GB2312"/>
                <w:sz w:val="20"/>
              </w:rPr>
              <w:t>超融合平台的双向无缝迁移能力；同时，需要支持老旧系统（如</w:t>
            </w:r>
            <w:r>
              <w:rPr>
                <w:rFonts w:ascii="仿宋_GB2312" w:hAnsi="仿宋_GB2312" w:cs="仿宋_GB2312" w:eastAsia="仿宋_GB2312"/>
                <w:sz w:val="20"/>
              </w:rPr>
              <w:t>Windows 2003，RHEL5.5等各类操作系统）的运行环境虚拟化</w:t>
            </w:r>
            <w:r>
              <w:rPr>
                <w:rFonts w:ascii="仿宋_GB2312" w:hAnsi="仿宋_GB2312" w:cs="仿宋_GB2312" w:eastAsia="仿宋_GB2312"/>
                <w:sz w:val="20"/>
              </w:rPr>
              <w:t>。</w:t>
            </w:r>
            <w:r>
              <w:rPr>
                <w:rFonts w:ascii="仿宋_GB2312" w:hAnsi="仿宋_GB2312" w:cs="仿宋_GB2312" w:eastAsia="仿宋_GB2312"/>
                <w:sz w:val="20"/>
              </w:rPr>
              <w:t>（需提供产品功能截图，并加盖公章）。</w:t>
            </w:r>
          </w:p>
          <w:p>
            <w:pPr>
              <w:pStyle w:val="null3"/>
              <w:spacing w:before="60" w:after="60"/>
              <w:ind w:left="570"/>
              <w:jc w:val="left"/>
            </w:pPr>
            <w:r>
              <w:rPr>
                <w:rFonts w:ascii="仿宋_GB2312" w:hAnsi="仿宋_GB2312" w:cs="仿宋_GB2312" w:eastAsia="仿宋_GB2312"/>
                <w:sz w:val="20"/>
              </w:rPr>
              <w:t>1.12.</w:t>
            </w:r>
            <w:r>
              <w:rPr>
                <w:rFonts w:ascii="仿宋_GB2312" w:hAnsi="仿宋_GB2312" w:cs="仿宋_GB2312" w:eastAsia="仿宋_GB2312"/>
                <w:sz w:val="20"/>
              </w:rPr>
              <w:t>操作系统支持：必须覆盖主流且医院核心业务依赖的关键系统版本（例如）：</w:t>
            </w:r>
            <w:r>
              <w:rPr>
                <w:rFonts w:ascii="仿宋_GB2312" w:hAnsi="仿宋_GB2312" w:cs="仿宋_GB2312" w:eastAsia="仿宋_GB2312"/>
                <w:sz w:val="20"/>
              </w:rPr>
              <w:t>Windows 2003、Windows2008、Windows 2012、Windows 2016、SUSE Linux Enterprise Server 12 SP5、Red Hat Enterprise Linux 8.0、CentOS 8.0、Ubuntu 16.10 Server、银河麒麟v10、中标普华Linux桌面5.0系统、深度Linux15.10、红旗Linux 7 sp3等操作系统（需提供产品功能截图，并加盖厂商公章）</w:t>
            </w:r>
            <w:r>
              <w:rPr>
                <w:rFonts w:ascii="仿宋_GB2312" w:hAnsi="仿宋_GB2312" w:cs="仿宋_GB2312" w:eastAsia="仿宋_GB2312"/>
                <w:sz w:val="20"/>
              </w:rPr>
              <w:t>。</w:t>
            </w:r>
          </w:p>
          <w:p>
            <w:pPr>
              <w:pStyle w:val="null3"/>
              <w:spacing w:before="60" w:after="60"/>
              <w:ind w:left="420"/>
              <w:jc w:val="left"/>
            </w:pPr>
            <w:r>
              <w:rPr>
                <w:rFonts w:ascii="仿宋_GB2312" w:hAnsi="仿宋_GB2312" w:cs="仿宋_GB2312" w:eastAsia="仿宋_GB2312"/>
                <w:sz w:val="20"/>
              </w:rPr>
              <w:t>2.</w:t>
            </w:r>
            <w:r>
              <w:rPr>
                <w:rFonts w:ascii="仿宋_GB2312" w:hAnsi="仿宋_GB2312" w:cs="仿宋_GB2312" w:eastAsia="仿宋_GB2312"/>
                <w:sz w:val="20"/>
              </w:rPr>
              <w:t>存储虚拟化服务模块</w:t>
            </w:r>
            <w:r>
              <w:rPr>
                <w:rFonts w:ascii="仿宋_GB2312" w:hAnsi="仿宋_GB2312" w:cs="仿宋_GB2312" w:eastAsia="仿宋_GB2312"/>
                <w:sz w:val="20"/>
              </w:rPr>
              <w:t>（一套）</w:t>
            </w:r>
          </w:p>
          <w:p>
            <w:pPr>
              <w:pStyle w:val="null3"/>
              <w:spacing w:before="60" w:after="60"/>
              <w:ind w:left="570"/>
              <w:jc w:val="left"/>
            </w:pPr>
            <w:r>
              <w:rPr>
                <w:rFonts w:ascii="仿宋_GB2312" w:hAnsi="仿宋_GB2312" w:cs="仿宋_GB2312" w:eastAsia="仿宋_GB2312"/>
                <w:sz w:val="20"/>
              </w:rPr>
              <w:t>2.1.</w:t>
            </w:r>
            <w:r>
              <w:rPr>
                <w:rFonts w:ascii="仿宋_GB2312" w:hAnsi="仿宋_GB2312" w:cs="仿宋_GB2312" w:eastAsia="仿宋_GB2312"/>
                <w:sz w:val="20"/>
              </w:rPr>
              <w:t>提供存储虚拟化永久授权软件</w:t>
            </w:r>
            <w:r>
              <w:rPr>
                <w:rFonts w:ascii="仿宋_GB2312" w:hAnsi="仿宋_GB2312" w:cs="仿宋_GB2312" w:eastAsia="仿宋_GB2312"/>
                <w:sz w:val="20"/>
              </w:rPr>
              <w:t>1套（无软件使用有效期限制），提供不限制容量的使用授权（需提</w:t>
            </w:r>
            <w:r>
              <w:rPr>
                <w:rFonts w:ascii="仿宋_GB2312" w:hAnsi="仿宋_GB2312" w:cs="仿宋_GB2312" w:eastAsia="仿宋_GB2312"/>
                <w:sz w:val="20"/>
              </w:rPr>
              <w:t>承诺函</w:t>
            </w:r>
            <w:r>
              <w:rPr>
                <w:rFonts w:ascii="仿宋_GB2312" w:hAnsi="仿宋_GB2312" w:cs="仿宋_GB2312" w:eastAsia="仿宋_GB2312"/>
                <w:sz w:val="20"/>
              </w:rPr>
              <w:t>，并加盖公章）。</w:t>
            </w:r>
          </w:p>
          <w:p>
            <w:pPr>
              <w:pStyle w:val="null3"/>
              <w:spacing w:before="60" w:after="60"/>
              <w:ind w:left="570"/>
              <w:jc w:val="left"/>
            </w:pPr>
            <w:r>
              <w:rPr>
                <w:rFonts w:ascii="仿宋_GB2312" w:hAnsi="仿宋_GB2312" w:cs="仿宋_GB2312" w:eastAsia="仿宋_GB2312"/>
                <w:sz w:val="20"/>
              </w:rPr>
              <w:t>2.2.</w:t>
            </w:r>
            <w:r>
              <w:rPr>
                <w:rFonts w:ascii="仿宋_GB2312" w:hAnsi="仿宋_GB2312" w:cs="仿宋_GB2312" w:eastAsia="仿宋_GB2312"/>
                <w:sz w:val="20"/>
              </w:rPr>
              <w:t>支持标准的</w:t>
            </w:r>
            <w:r>
              <w:rPr>
                <w:rFonts w:ascii="仿宋_GB2312" w:hAnsi="仿宋_GB2312" w:cs="仿宋_GB2312" w:eastAsia="仿宋_GB2312"/>
                <w:sz w:val="20"/>
              </w:rPr>
              <w:t>iSCSI协议，允许物理主机或应用通过标准的iSCSI接口访问虚拟存储。支持iSCSI存储、FC存储、NFS存储、本地存储等（需提供产品功能截图或声明，并加盖公章）。</w:t>
            </w:r>
          </w:p>
          <w:p>
            <w:pPr>
              <w:pStyle w:val="null3"/>
              <w:spacing w:before="60" w:after="60"/>
              <w:ind w:left="570"/>
              <w:jc w:val="left"/>
            </w:pPr>
            <w:r>
              <w:rPr>
                <w:rFonts w:ascii="仿宋_GB2312" w:hAnsi="仿宋_GB2312" w:cs="仿宋_GB2312" w:eastAsia="仿宋_GB2312"/>
                <w:sz w:val="20"/>
              </w:rPr>
              <w:t>2.3.</w:t>
            </w:r>
            <w:r>
              <w:rPr>
                <w:rFonts w:ascii="仿宋_GB2312" w:hAnsi="仿宋_GB2312" w:cs="仿宋_GB2312" w:eastAsia="仿宋_GB2312"/>
                <w:sz w:val="20"/>
              </w:rPr>
              <w:t>存储虚拟化平台支持将新建存储卷映射给医院现有虚拟化业务平台进行使用，也可以支持现有存储挂载给新建超融合集群使用，并且支持超融合平台对于存储资源的统一监控管理，可以统一无缝实现数据漂移。（需提供产品功能截图或声明，并加盖公章）。</w:t>
            </w:r>
          </w:p>
          <w:p>
            <w:pPr>
              <w:pStyle w:val="null3"/>
              <w:spacing w:before="60" w:after="60"/>
              <w:ind w:left="570"/>
              <w:jc w:val="left"/>
            </w:pPr>
            <w:r>
              <w:rPr>
                <w:rFonts w:ascii="仿宋_GB2312" w:hAnsi="仿宋_GB2312" w:cs="仿宋_GB2312" w:eastAsia="仿宋_GB2312"/>
                <w:sz w:val="20"/>
              </w:rPr>
              <w:t>2.4.</w:t>
            </w:r>
            <w:r>
              <w:rPr>
                <w:rFonts w:ascii="仿宋_GB2312" w:hAnsi="仿宋_GB2312" w:cs="仿宋_GB2312" w:eastAsia="仿宋_GB2312"/>
                <w:sz w:val="20"/>
              </w:rPr>
              <w:t>为了同时兼顾稳定性和性能，平台需要支持对虚拟机或虚拟磁盘设置数据分布策略（需提供产品功能截图或声明，并加盖公章）。</w:t>
            </w:r>
          </w:p>
          <w:p>
            <w:pPr>
              <w:pStyle w:val="null3"/>
              <w:spacing w:before="60" w:after="60"/>
              <w:ind w:left="570"/>
              <w:jc w:val="left"/>
            </w:pPr>
            <w:r>
              <w:rPr>
                <w:rFonts w:ascii="仿宋_GB2312" w:hAnsi="仿宋_GB2312" w:cs="仿宋_GB2312" w:eastAsia="仿宋_GB2312"/>
                <w:sz w:val="20"/>
              </w:rPr>
              <w:t>2.5.</w:t>
            </w:r>
            <w:r>
              <w:rPr>
                <w:rFonts w:ascii="仿宋_GB2312" w:hAnsi="仿宋_GB2312" w:cs="仿宋_GB2312" w:eastAsia="仿宋_GB2312"/>
                <w:sz w:val="20"/>
              </w:rPr>
              <w:t>存储虚拟化与现有的存储资源池并入同一个存储池中，实现现有的存储空间扩容使用。</w:t>
            </w:r>
          </w:p>
          <w:p>
            <w:pPr>
              <w:pStyle w:val="null3"/>
              <w:spacing w:before="60" w:after="60"/>
              <w:ind w:left="570"/>
              <w:jc w:val="left"/>
            </w:pPr>
            <w:r>
              <w:rPr>
                <w:rFonts w:ascii="仿宋_GB2312" w:hAnsi="仿宋_GB2312" w:cs="仿宋_GB2312" w:eastAsia="仿宋_GB2312"/>
                <w:sz w:val="20"/>
              </w:rPr>
              <w:t>2.6.</w:t>
            </w:r>
            <w:r>
              <w:rPr>
                <w:rFonts w:ascii="仿宋_GB2312" w:hAnsi="仿宋_GB2312" w:cs="仿宋_GB2312" w:eastAsia="仿宋_GB2312"/>
                <w:sz w:val="20"/>
              </w:rPr>
              <w:t>超融合平台默认提供快照功能，快照类型可以支持存储快照、磁盘快照等功能（</w:t>
            </w:r>
            <w:r>
              <w:rPr>
                <w:rFonts w:ascii="仿宋_GB2312" w:hAnsi="仿宋_GB2312" w:cs="仿宋_GB2312" w:eastAsia="仿宋_GB2312"/>
                <w:sz w:val="20"/>
              </w:rPr>
              <w:t>提供功能截图，并加盖公章</w:t>
            </w:r>
            <w:r>
              <w:rPr>
                <w:rFonts w:ascii="仿宋_GB2312" w:hAnsi="仿宋_GB2312" w:cs="仿宋_GB2312" w:eastAsia="仿宋_GB2312"/>
                <w:sz w:val="20"/>
              </w:rPr>
              <w:t>）。</w:t>
            </w:r>
          </w:p>
          <w:p>
            <w:pPr>
              <w:pStyle w:val="null3"/>
              <w:spacing w:before="60" w:after="60"/>
              <w:ind w:left="570"/>
              <w:jc w:val="left"/>
            </w:pPr>
            <w:r>
              <w:rPr>
                <w:rFonts w:ascii="仿宋_GB2312" w:hAnsi="仿宋_GB2312" w:cs="仿宋_GB2312" w:eastAsia="仿宋_GB2312"/>
                <w:sz w:val="20"/>
              </w:rPr>
              <w:t>2.7.</w:t>
            </w:r>
            <w:r>
              <w:rPr>
                <w:rFonts w:ascii="仿宋_GB2312" w:hAnsi="仿宋_GB2312" w:cs="仿宋_GB2312" w:eastAsia="仿宋_GB2312"/>
                <w:sz w:val="20"/>
              </w:rPr>
              <w:t>支持对外置存储多路径进行检测，支持对亚健康路径进行自动隔离，降低亚健康路径对整体外置存储</w:t>
            </w:r>
            <w:r>
              <w:rPr>
                <w:rFonts w:ascii="仿宋_GB2312" w:hAnsi="仿宋_GB2312" w:cs="仿宋_GB2312" w:eastAsia="仿宋_GB2312"/>
                <w:sz w:val="20"/>
              </w:rPr>
              <w:t>IO性能的影响（需提供产品功能截图或声明，并加盖公章）。</w:t>
            </w:r>
          </w:p>
          <w:p>
            <w:pPr>
              <w:pStyle w:val="null3"/>
              <w:spacing w:before="60" w:after="60"/>
              <w:ind w:left="570"/>
              <w:jc w:val="left"/>
            </w:pPr>
            <w:r>
              <w:rPr>
                <w:rFonts w:ascii="仿宋_GB2312" w:hAnsi="仿宋_GB2312" w:cs="仿宋_GB2312" w:eastAsia="仿宋_GB2312"/>
                <w:sz w:val="20"/>
              </w:rPr>
              <w:t>2.8.</w:t>
            </w:r>
            <w:r>
              <w:rPr>
                <w:rFonts w:ascii="仿宋_GB2312" w:hAnsi="仿宋_GB2312" w:cs="仿宋_GB2312" w:eastAsia="仿宋_GB2312"/>
                <w:sz w:val="20"/>
              </w:rPr>
              <w:t>为满足在不同场景下存储对性能和可靠性的需求，支持为虚拟机的磁盘配置不同的存储策略（需提供产品功能截图或声明，并加盖公章）。</w:t>
            </w:r>
          </w:p>
          <w:p>
            <w:pPr>
              <w:pStyle w:val="null3"/>
              <w:spacing w:before="60" w:after="60"/>
              <w:ind w:left="570"/>
              <w:jc w:val="left"/>
            </w:pPr>
            <w:r>
              <w:rPr>
                <w:rFonts w:ascii="仿宋_GB2312" w:hAnsi="仿宋_GB2312" w:cs="仿宋_GB2312" w:eastAsia="仿宋_GB2312"/>
                <w:sz w:val="20"/>
              </w:rPr>
              <w:t>2.9.</w:t>
            </w:r>
            <w:r>
              <w:rPr>
                <w:rFonts w:ascii="仿宋_GB2312" w:hAnsi="仿宋_GB2312" w:cs="仿宋_GB2312" w:eastAsia="仿宋_GB2312"/>
                <w:sz w:val="20"/>
              </w:rPr>
              <w:t>支持硬盘寿命预测功能，可以查看磁盘寿命页面列表项信息，包括硬盘名称、剩余寿命、预计剩余可用时长和寿命风险。（</w:t>
            </w:r>
            <w:r>
              <w:rPr>
                <w:rFonts w:ascii="仿宋_GB2312" w:hAnsi="仿宋_GB2312" w:cs="仿宋_GB2312" w:eastAsia="仿宋_GB2312"/>
                <w:sz w:val="20"/>
              </w:rPr>
              <w:t>提供功能截图，并加盖公章</w:t>
            </w:r>
            <w:r>
              <w:rPr>
                <w:rFonts w:ascii="仿宋_GB2312" w:hAnsi="仿宋_GB2312" w:cs="仿宋_GB2312" w:eastAsia="仿宋_GB2312"/>
                <w:sz w:val="20"/>
              </w:rPr>
              <w:t>）</w:t>
            </w:r>
          </w:p>
          <w:p>
            <w:pPr>
              <w:pStyle w:val="null3"/>
              <w:spacing w:before="60" w:after="60"/>
              <w:ind w:left="570"/>
              <w:jc w:val="left"/>
            </w:pPr>
            <w:r>
              <w:rPr>
                <w:rFonts w:ascii="仿宋_GB2312" w:hAnsi="仿宋_GB2312" w:cs="仿宋_GB2312" w:eastAsia="仿宋_GB2312"/>
                <w:sz w:val="20"/>
              </w:rPr>
              <w:t>2.10.</w:t>
            </w:r>
            <w:r>
              <w:rPr>
                <w:rFonts w:ascii="仿宋_GB2312" w:hAnsi="仿宋_GB2312" w:cs="仿宋_GB2312" w:eastAsia="仿宋_GB2312"/>
                <w:sz w:val="20"/>
              </w:rPr>
              <w:t>平台支持硬盘容量预测功能，并可根据客户设置的阈值进行容量告警，并提供扩容提供指导，并避免使用过程中突然出现容量不足问题。</w:t>
            </w:r>
          </w:p>
          <w:p>
            <w:pPr>
              <w:pStyle w:val="null3"/>
              <w:spacing w:before="60" w:after="60"/>
              <w:ind w:left="420"/>
              <w:jc w:val="left"/>
            </w:pPr>
            <w:r>
              <w:rPr>
                <w:rFonts w:ascii="仿宋_GB2312" w:hAnsi="仿宋_GB2312" w:cs="仿宋_GB2312" w:eastAsia="仿宋_GB2312"/>
                <w:sz w:val="20"/>
              </w:rPr>
              <w:t>3.</w:t>
            </w:r>
            <w:r>
              <w:rPr>
                <w:rFonts w:ascii="仿宋_GB2312" w:hAnsi="仿宋_GB2312" w:cs="仿宋_GB2312" w:eastAsia="仿宋_GB2312"/>
                <w:sz w:val="20"/>
              </w:rPr>
              <w:t>网络虚拟化服务模块</w:t>
            </w:r>
            <w:r>
              <w:rPr>
                <w:rFonts w:ascii="仿宋_GB2312" w:hAnsi="仿宋_GB2312" w:cs="仿宋_GB2312" w:eastAsia="仿宋_GB2312"/>
                <w:sz w:val="20"/>
              </w:rPr>
              <w:t>（一套）</w:t>
            </w:r>
          </w:p>
          <w:p>
            <w:pPr>
              <w:pStyle w:val="null3"/>
              <w:spacing w:before="60" w:after="60"/>
              <w:ind w:left="570"/>
              <w:jc w:val="left"/>
            </w:pPr>
            <w:r>
              <w:rPr>
                <w:rFonts w:ascii="仿宋_GB2312" w:hAnsi="仿宋_GB2312" w:cs="仿宋_GB2312" w:eastAsia="仿宋_GB2312"/>
                <w:sz w:val="20"/>
              </w:rPr>
              <w:t>3.1.</w:t>
            </w:r>
            <w:r>
              <w:rPr>
                <w:rFonts w:ascii="仿宋_GB2312" w:hAnsi="仿宋_GB2312" w:cs="仿宋_GB2312" w:eastAsia="仿宋_GB2312"/>
                <w:sz w:val="20"/>
              </w:rPr>
              <w:t>提供网络虚拟化永久授权软件</w:t>
            </w:r>
            <w:r>
              <w:rPr>
                <w:rFonts w:ascii="仿宋_GB2312" w:hAnsi="仿宋_GB2312" w:cs="仿宋_GB2312" w:eastAsia="仿宋_GB2312"/>
                <w:sz w:val="20"/>
              </w:rPr>
              <w:t>1套（无软件使用有效期限制），不限制虚拟路由器和虚拟交换机的数量（需提供产品功能截图或声明，并加盖公章）。</w:t>
            </w:r>
          </w:p>
          <w:p>
            <w:pPr>
              <w:pStyle w:val="null3"/>
              <w:spacing w:before="60" w:after="60"/>
              <w:ind w:left="570"/>
              <w:jc w:val="left"/>
            </w:pPr>
            <w:r>
              <w:rPr>
                <w:rFonts w:ascii="仿宋_GB2312" w:hAnsi="仿宋_GB2312" w:cs="仿宋_GB2312" w:eastAsia="仿宋_GB2312"/>
                <w:sz w:val="20"/>
              </w:rPr>
              <w:t>3.2.</w:t>
            </w:r>
            <w:r>
              <w:rPr>
                <w:rFonts w:ascii="仿宋_GB2312" w:hAnsi="仿宋_GB2312" w:cs="仿宋_GB2312" w:eastAsia="仿宋_GB2312"/>
                <w:sz w:val="20"/>
              </w:rPr>
              <w:t>我单位计划在超融合平台中使用网络能力，需要支持分布式虚拟交换机、虚拟路由器、虚拟应用防火墙、分布式防火墙等能力，并能够在同一个平台内统一使用，本次提供不限制数量的虚拟路由器及虚拟交换机（需提供产品功能截图或声明，并加盖公章）。</w:t>
            </w:r>
          </w:p>
          <w:p>
            <w:pPr>
              <w:pStyle w:val="null3"/>
              <w:spacing w:before="60" w:after="60"/>
              <w:ind w:left="570"/>
              <w:jc w:val="left"/>
            </w:pPr>
            <w:r>
              <w:rPr>
                <w:rFonts w:ascii="仿宋_GB2312" w:hAnsi="仿宋_GB2312" w:cs="仿宋_GB2312" w:eastAsia="仿宋_GB2312"/>
                <w:sz w:val="20"/>
              </w:rPr>
              <w:t>3.3.</w:t>
            </w:r>
            <w:r>
              <w:rPr>
                <w:rFonts w:ascii="仿宋_GB2312" w:hAnsi="仿宋_GB2312" w:cs="仿宋_GB2312" w:eastAsia="仿宋_GB2312"/>
                <w:sz w:val="20"/>
              </w:rPr>
              <w:t>为了保障超融合内部的南北向和东西向之间的访问安全和网络隔离，需要提供不限制数量的虚拟路由器和虚拟交换机，且分布式防火墙可在本次建设超融合平台及医院现有业务平台上部署使用（需提供产品功能截图或声明，并加盖公章）。</w:t>
            </w:r>
          </w:p>
          <w:p>
            <w:pPr>
              <w:pStyle w:val="null3"/>
              <w:spacing w:before="60" w:after="60"/>
              <w:ind w:left="570"/>
              <w:jc w:val="left"/>
            </w:pPr>
            <w:r>
              <w:rPr>
                <w:rFonts w:ascii="仿宋_GB2312" w:hAnsi="仿宋_GB2312" w:cs="仿宋_GB2312" w:eastAsia="仿宋_GB2312"/>
                <w:sz w:val="20"/>
              </w:rPr>
              <w:t>3.4.</w:t>
            </w:r>
            <w:r>
              <w:rPr>
                <w:rFonts w:ascii="仿宋_GB2312" w:hAnsi="仿宋_GB2312" w:cs="仿宋_GB2312" w:eastAsia="仿宋_GB2312"/>
                <w:sz w:val="20"/>
              </w:rPr>
              <w:t>支持虚拟化无缝扩容，虚拟网络无缝对接平滑扩容，扩容后虚拟网络域、隔离策略完全同步原有配置无需任何改动，扩容实施中虚拟网络</w:t>
            </w:r>
            <w:r>
              <w:rPr>
                <w:rFonts w:ascii="仿宋_GB2312" w:hAnsi="仿宋_GB2312" w:cs="仿宋_GB2312" w:eastAsia="仿宋_GB2312"/>
                <w:sz w:val="20"/>
              </w:rPr>
              <w:t>0中断，医院核心业务无感知（提供平滑扩容过程中业务0中断及功能满足度承诺函，并加盖公章）。</w:t>
            </w:r>
          </w:p>
          <w:p>
            <w:pPr>
              <w:pStyle w:val="null3"/>
              <w:spacing w:before="60" w:after="60"/>
              <w:ind w:left="570"/>
              <w:jc w:val="left"/>
            </w:pPr>
            <w:r>
              <w:rPr>
                <w:rFonts w:ascii="仿宋_GB2312" w:hAnsi="仿宋_GB2312" w:cs="仿宋_GB2312" w:eastAsia="仿宋_GB2312"/>
                <w:sz w:val="20"/>
              </w:rPr>
              <w:t>3.5.</w:t>
            </w:r>
            <w:r>
              <w:rPr>
                <w:rFonts w:ascii="仿宋_GB2312" w:hAnsi="仿宋_GB2312" w:cs="仿宋_GB2312" w:eastAsia="仿宋_GB2312"/>
                <w:sz w:val="20"/>
              </w:rPr>
              <w:t>超融合应提供东西向防护的策略推荐，自动通过访问关系、历史流量和用户配置来生成最适合的微隔离规则，并且可以预发布策略，预览访问关系和防护状况，在二次确认后发布推荐策略。为保证策略的统一性，需提供本次超融合的东西向防护策略推荐（需提供产品功能截图或声明，并加盖公章）。</w:t>
            </w:r>
          </w:p>
          <w:p>
            <w:pPr>
              <w:pStyle w:val="null3"/>
              <w:spacing w:before="60" w:after="60"/>
              <w:ind w:left="570"/>
              <w:jc w:val="left"/>
            </w:pPr>
            <w:r>
              <w:rPr>
                <w:rFonts w:ascii="仿宋_GB2312" w:hAnsi="仿宋_GB2312" w:cs="仿宋_GB2312" w:eastAsia="仿宋_GB2312"/>
                <w:sz w:val="20"/>
              </w:rPr>
              <w:t>3.6.</w:t>
            </w:r>
            <w:r>
              <w:rPr>
                <w:rFonts w:ascii="仿宋_GB2312" w:hAnsi="仿宋_GB2312" w:cs="仿宋_GB2312" w:eastAsia="仿宋_GB2312"/>
                <w:sz w:val="20"/>
              </w:rPr>
              <w:t>支持在界面上为虚拟机配置</w:t>
            </w:r>
            <w:r>
              <w:rPr>
                <w:rFonts w:ascii="仿宋_GB2312" w:hAnsi="仿宋_GB2312" w:cs="仿宋_GB2312" w:eastAsia="仿宋_GB2312"/>
                <w:sz w:val="20"/>
              </w:rPr>
              <w:t>IPv6地址，并可通过IPv6地址访问该业务（需提供产品功能截图或声明，并加盖公章）。</w:t>
            </w:r>
          </w:p>
          <w:p>
            <w:pPr>
              <w:pStyle w:val="null3"/>
              <w:spacing w:before="60" w:after="60"/>
              <w:ind w:left="570"/>
              <w:jc w:val="left"/>
            </w:pPr>
            <w:r>
              <w:rPr>
                <w:rFonts w:ascii="仿宋_GB2312" w:hAnsi="仿宋_GB2312" w:cs="仿宋_GB2312" w:eastAsia="仿宋_GB2312"/>
                <w:sz w:val="24"/>
              </w:rPr>
              <w:t>3.7.</w:t>
            </w:r>
            <w:r>
              <w:rPr>
                <w:rFonts w:ascii="仿宋_GB2312" w:hAnsi="仿宋_GB2312" w:cs="仿宋_GB2312" w:eastAsia="仿宋_GB2312"/>
                <w:sz w:val="20"/>
              </w:rPr>
              <w:t>支持创建分布式虚拟防火墙，可基于虚拟机、虚拟机组、虚拟机标签、</w:t>
            </w:r>
            <w:r>
              <w:rPr>
                <w:rFonts w:ascii="仿宋_GB2312" w:hAnsi="仿宋_GB2312" w:cs="仿宋_GB2312" w:eastAsia="仿宋_GB2312"/>
                <w:sz w:val="20"/>
              </w:rPr>
              <w:t>IP、IP范围、IP组构建安全防火墙，当虚拟机在不同的物理节点之间迁移时，安全策略随之移动（需提供产品功能截图或声明，并加盖公章）。</w:t>
            </w:r>
          </w:p>
          <w:p>
            <w:pPr>
              <w:pStyle w:val="null3"/>
              <w:spacing w:before="60" w:after="60"/>
              <w:ind w:left="420"/>
              <w:jc w:val="left"/>
            </w:pPr>
            <w:r>
              <w:rPr>
                <w:rFonts w:ascii="仿宋_GB2312" w:hAnsi="仿宋_GB2312" w:cs="仿宋_GB2312" w:eastAsia="仿宋_GB2312"/>
                <w:sz w:val="20"/>
              </w:rPr>
              <w:t>4.</w:t>
            </w:r>
            <w:r>
              <w:rPr>
                <w:rFonts w:ascii="仿宋_GB2312" w:hAnsi="仿宋_GB2312" w:cs="仿宋_GB2312" w:eastAsia="仿宋_GB2312"/>
                <w:sz w:val="20"/>
              </w:rPr>
              <w:t>云计算管理</w:t>
            </w:r>
            <w:r>
              <w:rPr>
                <w:rFonts w:ascii="仿宋_GB2312" w:hAnsi="仿宋_GB2312" w:cs="仿宋_GB2312" w:eastAsia="仿宋_GB2312"/>
                <w:sz w:val="20"/>
              </w:rPr>
              <w:t>管理平台</w:t>
            </w:r>
            <w:r>
              <w:rPr>
                <w:rFonts w:ascii="仿宋_GB2312" w:hAnsi="仿宋_GB2312" w:cs="仿宋_GB2312" w:eastAsia="仿宋_GB2312"/>
                <w:sz w:val="20"/>
              </w:rPr>
              <w:t>及运维服务模块</w:t>
            </w:r>
            <w:r>
              <w:rPr>
                <w:rFonts w:ascii="仿宋_GB2312" w:hAnsi="仿宋_GB2312" w:cs="仿宋_GB2312" w:eastAsia="仿宋_GB2312"/>
                <w:sz w:val="20"/>
              </w:rPr>
              <w:t>（一套）</w:t>
            </w:r>
            <w:r>
              <w:rPr>
                <w:rFonts w:ascii="仿宋_GB2312" w:hAnsi="仿宋_GB2312" w:cs="仿宋_GB2312" w:eastAsia="仿宋_GB2312"/>
                <w:sz w:val="20"/>
              </w:rPr>
              <w:t>（需提供产品功能截图或声明，并加盖公章）</w:t>
            </w:r>
          </w:p>
          <w:p>
            <w:pPr>
              <w:pStyle w:val="null3"/>
              <w:spacing w:before="60" w:after="60"/>
              <w:ind w:left="570"/>
              <w:jc w:val="left"/>
            </w:pPr>
            <w:r>
              <w:rPr>
                <w:rFonts w:ascii="仿宋_GB2312" w:hAnsi="仿宋_GB2312" w:cs="仿宋_GB2312" w:eastAsia="仿宋_GB2312"/>
                <w:sz w:val="20"/>
              </w:rPr>
              <w:t>4.1.</w:t>
            </w:r>
            <w:r>
              <w:rPr>
                <w:rFonts w:ascii="仿宋_GB2312" w:hAnsi="仿宋_GB2312" w:cs="仿宋_GB2312" w:eastAsia="仿宋_GB2312"/>
                <w:sz w:val="20"/>
              </w:rPr>
              <w:t>包含云管永久软件授权</w:t>
            </w:r>
            <w:r>
              <w:rPr>
                <w:rFonts w:ascii="仿宋_GB2312" w:hAnsi="仿宋_GB2312" w:cs="仿宋_GB2312" w:eastAsia="仿宋_GB2312"/>
                <w:sz w:val="20"/>
              </w:rPr>
              <w:t>1套（无软件使用有效期限制），统一管理平台</w:t>
            </w:r>
            <w:r>
              <w:rPr>
                <w:rFonts w:ascii="仿宋_GB2312" w:hAnsi="仿宋_GB2312" w:cs="仿宋_GB2312" w:eastAsia="仿宋_GB2312"/>
                <w:sz w:val="20"/>
              </w:rPr>
              <w:t>，包含我院现有的</w:t>
            </w:r>
            <w:r>
              <w:rPr>
                <w:rFonts w:ascii="仿宋_GB2312" w:hAnsi="仿宋_GB2312" w:cs="仿宋_GB2312" w:eastAsia="仿宋_GB2312"/>
                <w:sz w:val="20"/>
              </w:rPr>
              <w:t>8台超融合服务器授权</w:t>
            </w:r>
            <w:r>
              <w:rPr>
                <w:rFonts w:ascii="仿宋_GB2312" w:hAnsi="仿宋_GB2312" w:cs="仿宋_GB2312" w:eastAsia="仿宋_GB2312"/>
                <w:sz w:val="20"/>
              </w:rPr>
              <w:t>，实现跨集群（我单位现有超融合集群</w:t>
            </w:r>
            <w:r>
              <w:rPr>
                <w:rFonts w:ascii="仿宋_GB2312" w:hAnsi="仿宋_GB2312" w:cs="仿宋_GB2312" w:eastAsia="仿宋_GB2312"/>
                <w:sz w:val="20"/>
              </w:rPr>
              <w:t>或</w:t>
            </w:r>
            <w:r>
              <w:rPr>
                <w:rFonts w:ascii="仿宋_GB2312" w:hAnsi="仿宋_GB2312" w:cs="仿宋_GB2312" w:eastAsia="仿宋_GB2312"/>
                <w:sz w:val="20"/>
              </w:rPr>
              <w:t>vmware集群、存储集群等）、跨数据中心的统一管理。具备对虚拟机全生命周期管理、资源监控、可靠性中心等功能（需提供产品功能截图或声明，并加盖公章）。</w:t>
            </w:r>
          </w:p>
          <w:p>
            <w:pPr>
              <w:pStyle w:val="null3"/>
              <w:spacing w:before="60" w:after="60"/>
              <w:ind w:left="570"/>
              <w:jc w:val="left"/>
            </w:pPr>
            <w:r>
              <w:rPr>
                <w:rFonts w:ascii="仿宋_GB2312" w:hAnsi="仿宋_GB2312" w:cs="仿宋_GB2312" w:eastAsia="仿宋_GB2312"/>
                <w:sz w:val="20"/>
              </w:rPr>
              <w:t>4.2.</w:t>
            </w:r>
            <w:r>
              <w:rPr>
                <w:rFonts w:ascii="仿宋_GB2312" w:hAnsi="仿宋_GB2312" w:cs="仿宋_GB2312" w:eastAsia="仿宋_GB2312"/>
                <w:sz w:val="20"/>
              </w:rPr>
              <w:t>需提供计算机软件著作登记证书复印件（云计算管理平台）及查询链接</w:t>
            </w:r>
            <w:r>
              <w:rPr>
                <w:rFonts w:ascii="仿宋_GB2312" w:hAnsi="仿宋_GB2312" w:cs="仿宋_GB2312" w:eastAsia="仿宋_GB2312"/>
                <w:sz w:val="20"/>
              </w:rPr>
              <w:t>。</w:t>
            </w:r>
          </w:p>
          <w:p>
            <w:pPr>
              <w:pStyle w:val="null3"/>
              <w:spacing w:before="60" w:after="60"/>
              <w:ind w:left="570"/>
              <w:jc w:val="left"/>
            </w:pPr>
            <w:r>
              <w:rPr>
                <w:rFonts w:ascii="仿宋_GB2312" w:hAnsi="仿宋_GB2312" w:cs="仿宋_GB2312" w:eastAsia="仿宋_GB2312"/>
                <w:sz w:val="20"/>
              </w:rPr>
              <w:t>4.3.</w:t>
            </w:r>
            <w:r>
              <w:rPr>
                <w:rFonts w:ascii="仿宋_GB2312" w:hAnsi="仿宋_GB2312" w:cs="仿宋_GB2312" w:eastAsia="仿宋_GB2312"/>
                <w:sz w:val="20"/>
              </w:rPr>
              <w:t>为了能直观地掌握整个数据中心的可靠性状态。超融合资源池可以实现统一的数据展示，包括但不限于业务可靠性、平台可靠性和硬件可靠性等相关功能参数（需提供产品功能截图或声明，并加盖公章）。</w:t>
            </w:r>
          </w:p>
          <w:p>
            <w:pPr>
              <w:pStyle w:val="null3"/>
              <w:spacing w:before="60" w:after="60"/>
              <w:ind w:left="570"/>
              <w:jc w:val="left"/>
            </w:pPr>
            <w:r>
              <w:rPr>
                <w:rFonts w:ascii="仿宋_GB2312" w:hAnsi="仿宋_GB2312" w:cs="仿宋_GB2312" w:eastAsia="仿宋_GB2312"/>
                <w:sz w:val="20"/>
              </w:rPr>
              <w:t>4.4.</w:t>
            </w:r>
            <w:r>
              <w:rPr>
                <w:rFonts w:ascii="仿宋_GB2312" w:hAnsi="仿宋_GB2312" w:cs="仿宋_GB2312" w:eastAsia="仿宋_GB2312"/>
                <w:sz w:val="20"/>
              </w:rPr>
              <w:t>支持和现有超融合云管平台平滑扩容，兼容现有超融合云管平台架构、版本、账号权限体系、资源配额体系，支持新增计算、存储、网络等虚拟化资源自动纳管。（提供平滑扩容过程中业务</w:t>
            </w:r>
            <w:r>
              <w:rPr>
                <w:rFonts w:ascii="仿宋_GB2312" w:hAnsi="仿宋_GB2312" w:cs="仿宋_GB2312" w:eastAsia="仿宋_GB2312"/>
                <w:sz w:val="20"/>
              </w:rPr>
              <w:t>0中断及功能满足度承诺函，并加盖公章）。</w:t>
            </w:r>
          </w:p>
          <w:p>
            <w:pPr>
              <w:pStyle w:val="null3"/>
              <w:spacing w:before="60" w:after="60"/>
              <w:ind w:left="570"/>
              <w:jc w:val="left"/>
            </w:pPr>
            <w:r>
              <w:rPr>
                <w:rFonts w:ascii="仿宋_GB2312" w:hAnsi="仿宋_GB2312" w:cs="仿宋_GB2312" w:eastAsia="仿宋_GB2312"/>
                <w:sz w:val="20"/>
              </w:rPr>
              <w:t>4.5.</w:t>
            </w:r>
            <w:r>
              <w:rPr>
                <w:rFonts w:ascii="仿宋_GB2312" w:hAnsi="仿宋_GB2312" w:cs="仿宋_GB2312" w:eastAsia="仿宋_GB2312"/>
                <w:sz w:val="20"/>
              </w:rPr>
              <w:t>支持查看镜像页面，包括私有镜像和网络设备镜像，可对公共镜像、私有镜像和网络设备镜像进行统一上传镜像和管理操作；可通过镜像实现一键快速创建云主机，可对网络设备镜像通过网络拓扑进行虚拟化安全组件部署（需提供产品功能截图或声明，并加盖公章）。</w:t>
            </w:r>
          </w:p>
          <w:p>
            <w:pPr>
              <w:pStyle w:val="null3"/>
              <w:spacing w:before="60" w:after="60"/>
              <w:ind w:left="570"/>
              <w:jc w:val="left"/>
            </w:pPr>
            <w:r>
              <w:rPr>
                <w:rFonts w:ascii="仿宋_GB2312" w:hAnsi="仿宋_GB2312" w:cs="仿宋_GB2312" w:eastAsia="仿宋_GB2312"/>
                <w:sz w:val="20"/>
              </w:rPr>
              <w:t>4.6.</w:t>
            </w:r>
            <w:r>
              <w:rPr>
                <w:rFonts w:ascii="仿宋_GB2312" w:hAnsi="仿宋_GB2312" w:cs="仿宋_GB2312" w:eastAsia="仿宋_GB2312"/>
                <w:sz w:val="20"/>
              </w:rPr>
              <w:t>提供</w:t>
            </w:r>
            <w:r>
              <w:rPr>
                <w:rFonts w:ascii="仿宋_GB2312" w:hAnsi="仿宋_GB2312" w:cs="仿宋_GB2312" w:eastAsia="仿宋_GB2312"/>
                <w:sz w:val="20"/>
              </w:rPr>
              <w:t>云管理平台及</w:t>
            </w:r>
            <w:r>
              <w:rPr>
                <w:rFonts w:ascii="仿宋_GB2312" w:hAnsi="仿宋_GB2312" w:cs="仿宋_GB2312" w:eastAsia="仿宋_GB2312"/>
                <w:sz w:val="20"/>
              </w:rPr>
              <w:t>虚拟化智能巡检工具及上门服务，保障平台使用稳定可靠，每年</w:t>
            </w:r>
            <w:r>
              <w:rPr>
                <w:rFonts w:ascii="仿宋_GB2312" w:hAnsi="仿宋_GB2312" w:cs="仿宋_GB2312" w:eastAsia="仿宋_GB2312"/>
                <w:sz w:val="20"/>
              </w:rPr>
              <w:t>≥4次上门巡检并出具详细的检测分析报告</w:t>
            </w:r>
            <w:r>
              <w:rPr>
                <w:rFonts w:ascii="仿宋_GB2312" w:hAnsi="仿宋_GB2312" w:cs="仿宋_GB2312" w:eastAsia="仿宋_GB2312"/>
                <w:sz w:val="20"/>
              </w:rPr>
              <w:t>（提供</w:t>
            </w:r>
            <w:r>
              <w:rPr>
                <w:rFonts w:ascii="仿宋_GB2312" w:hAnsi="仿宋_GB2312" w:cs="仿宋_GB2312" w:eastAsia="仿宋_GB2312"/>
                <w:sz w:val="20"/>
              </w:rPr>
              <w:t>承诺函，并加盖公章）。</w:t>
            </w:r>
          </w:p>
          <w:p>
            <w:pPr>
              <w:pStyle w:val="null3"/>
              <w:spacing w:before="60" w:after="60"/>
              <w:ind w:left="420"/>
              <w:jc w:val="left"/>
            </w:pPr>
            <w:r>
              <w:rPr>
                <w:rFonts w:ascii="仿宋_GB2312" w:hAnsi="仿宋_GB2312" w:cs="仿宋_GB2312" w:eastAsia="仿宋_GB2312"/>
                <w:sz w:val="20"/>
              </w:rPr>
              <w:t>5.</w:t>
            </w:r>
            <w:r>
              <w:rPr>
                <w:rFonts w:ascii="仿宋_GB2312" w:hAnsi="仿宋_GB2312" w:cs="仿宋_GB2312" w:eastAsia="仿宋_GB2312"/>
                <w:sz w:val="20"/>
              </w:rPr>
              <w:t>服务器</w:t>
            </w:r>
            <w:r>
              <w:rPr>
                <w:rFonts w:ascii="仿宋_GB2312" w:hAnsi="仿宋_GB2312" w:cs="仿宋_GB2312" w:eastAsia="仿宋_GB2312"/>
                <w:sz w:val="20"/>
              </w:rPr>
              <w:t>性能指标</w:t>
            </w:r>
            <w:r>
              <w:rPr>
                <w:rFonts w:ascii="仿宋_GB2312" w:hAnsi="仿宋_GB2312" w:cs="仿宋_GB2312" w:eastAsia="仿宋_GB2312"/>
                <w:sz w:val="20"/>
              </w:rPr>
              <w:t>（提供</w:t>
            </w:r>
            <w:r>
              <w:rPr>
                <w:rFonts w:ascii="仿宋_GB2312" w:hAnsi="仿宋_GB2312" w:cs="仿宋_GB2312" w:eastAsia="仿宋_GB2312"/>
                <w:sz w:val="20"/>
              </w:rPr>
              <w:t>承诺函，并加盖公章）</w:t>
            </w:r>
          </w:p>
          <w:p>
            <w:pPr>
              <w:pStyle w:val="null3"/>
              <w:spacing w:before="60" w:after="60"/>
              <w:ind w:left="570"/>
              <w:jc w:val="left"/>
            </w:pPr>
            <w:r>
              <w:rPr>
                <w:rFonts w:ascii="仿宋_GB2312" w:hAnsi="仿宋_GB2312" w:cs="仿宋_GB2312" w:eastAsia="仿宋_GB2312"/>
                <w:sz w:val="20"/>
              </w:rPr>
              <w:t>5.1.</w:t>
            </w:r>
            <w:r>
              <w:rPr>
                <w:rFonts w:ascii="仿宋_GB2312" w:hAnsi="仿宋_GB2312" w:cs="仿宋_GB2312" w:eastAsia="仿宋_GB2312"/>
                <w:sz w:val="20"/>
              </w:rPr>
              <w:t>硬件交付要求：</w:t>
            </w:r>
            <w:r>
              <w:rPr>
                <w:rFonts w:ascii="仿宋_GB2312" w:hAnsi="仿宋_GB2312" w:cs="仿宋_GB2312" w:eastAsia="仿宋_GB2312"/>
                <w:sz w:val="20"/>
              </w:rPr>
              <w:t>(节点数 ≥3台，2U机架式服务器) 必须提供完整的设备规格清单和对应的性能指标证明</w:t>
            </w:r>
            <w:r>
              <w:rPr>
                <w:rFonts w:ascii="仿宋_GB2312" w:hAnsi="仿宋_GB2312" w:cs="仿宋_GB2312" w:eastAsia="仿宋_GB2312"/>
                <w:sz w:val="20"/>
              </w:rPr>
              <w:t>（提供</w:t>
            </w:r>
            <w:r>
              <w:rPr>
                <w:rFonts w:ascii="仿宋_GB2312" w:hAnsi="仿宋_GB2312" w:cs="仿宋_GB2312" w:eastAsia="仿宋_GB2312"/>
                <w:sz w:val="20"/>
              </w:rPr>
              <w:t>承诺函，并加盖公章）。</w:t>
            </w:r>
          </w:p>
          <w:p>
            <w:pPr>
              <w:pStyle w:val="null3"/>
              <w:spacing w:before="60" w:after="60"/>
              <w:ind w:left="570"/>
              <w:jc w:val="left"/>
            </w:pPr>
            <w:r>
              <w:rPr>
                <w:rFonts w:ascii="仿宋_GB2312" w:hAnsi="仿宋_GB2312" w:cs="仿宋_GB2312" w:eastAsia="仿宋_GB2312"/>
                <w:sz w:val="20"/>
              </w:rPr>
              <w:t>5.2.</w:t>
            </w:r>
            <w:r>
              <w:rPr>
                <w:rFonts w:ascii="仿宋_GB2312" w:hAnsi="仿宋_GB2312" w:cs="仿宋_GB2312" w:eastAsia="仿宋_GB2312"/>
                <w:sz w:val="20"/>
              </w:rPr>
              <w:t>CPU：≥2颗，主频≥2.9GHZ，核数≥16C</w:t>
            </w:r>
            <w:r>
              <w:rPr>
                <w:rFonts w:ascii="仿宋_GB2312" w:hAnsi="仿宋_GB2312" w:cs="仿宋_GB2312" w:eastAsia="仿宋_GB2312"/>
                <w:sz w:val="20"/>
              </w:rPr>
              <w:t>（提供</w:t>
            </w:r>
            <w:r>
              <w:rPr>
                <w:rFonts w:ascii="仿宋_GB2312" w:hAnsi="仿宋_GB2312" w:cs="仿宋_GB2312" w:eastAsia="仿宋_GB2312"/>
                <w:sz w:val="20"/>
              </w:rPr>
              <w:t>承诺函，并加盖公章）</w:t>
            </w:r>
          </w:p>
          <w:p>
            <w:pPr>
              <w:pStyle w:val="null3"/>
              <w:spacing w:before="60" w:after="60"/>
              <w:ind w:left="570"/>
              <w:jc w:val="left"/>
            </w:pPr>
            <w:r>
              <w:rPr>
                <w:rFonts w:ascii="仿宋_GB2312" w:hAnsi="仿宋_GB2312" w:cs="仿宋_GB2312" w:eastAsia="仿宋_GB2312"/>
                <w:sz w:val="20"/>
              </w:rPr>
              <w:t>5.3.</w:t>
            </w:r>
            <w:r>
              <w:rPr>
                <w:rFonts w:ascii="仿宋_GB2312" w:hAnsi="仿宋_GB2312" w:cs="仿宋_GB2312" w:eastAsia="仿宋_GB2312"/>
                <w:sz w:val="20"/>
              </w:rPr>
              <w:t>内存配置：</w:t>
            </w:r>
            <w:r>
              <w:rPr>
                <w:rFonts w:ascii="仿宋_GB2312" w:hAnsi="仿宋_GB2312" w:cs="仿宋_GB2312" w:eastAsia="仿宋_GB2312"/>
                <w:sz w:val="20"/>
              </w:rPr>
              <w:t>≥</w:t>
            </w:r>
            <w:r>
              <w:rPr>
                <w:rFonts w:ascii="仿宋_GB2312" w:hAnsi="仿宋_GB2312" w:cs="仿宋_GB2312" w:eastAsia="仿宋_GB2312"/>
                <w:sz w:val="20"/>
              </w:rPr>
              <w:t>16*32GB</w:t>
            </w:r>
            <w:r>
              <w:rPr>
                <w:rFonts w:ascii="仿宋_GB2312" w:hAnsi="仿宋_GB2312" w:cs="仿宋_GB2312" w:eastAsia="仿宋_GB2312"/>
                <w:sz w:val="20"/>
              </w:rPr>
              <w:t>（提供</w:t>
            </w:r>
            <w:r>
              <w:rPr>
                <w:rFonts w:ascii="仿宋_GB2312" w:hAnsi="仿宋_GB2312" w:cs="仿宋_GB2312" w:eastAsia="仿宋_GB2312"/>
                <w:sz w:val="20"/>
              </w:rPr>
              <w:t>承诺函，并加盖公章）存储系统：系统盘：</w:t>
            </w:r>
            <w:r>
              <w:rPr>
                <w:rFonts w:ascii="仿宋_GB2312" w:hAnsi="仿宋_GB2312" w:cs="仿宋_GB2312" w:eastAsia="仿宋_GB2312"/>
                <w:sz w:val="20"/>
              </w:rPr>
              <w:t>≥2*480G SSD，缓存盘：≥2个固态硬盘3.84T SSD，数据盘：≥10个机械硬盘8T，标配盘位数≥12</w:t>
            </w:r>
            <w:r>
              <w:rPr>
                <w:rFonts w:ascii="仿宋_GB2312" w:hAnsi="仿宋_GB2312" w:cs="仿宋_GB2312" w:eastAsia="仿宋_GB2312"/>
                <w:sz w:val="20"/>
              </w:rPr>
              <w:t>（提供</w:t>
            </w:r>
            <w:r>
              <w:rPr>
                <w:rFonts w:ascii="仿宋_GB2312" w:hAnsi="仿宋_GB2312" w:cs="仿宋_GB2312" w:eastAsia="仿宋_GB2312"/>
                <w:sz w:val="20"/>
              </w:rPr>
              <w:t>承诺函，并加盖公章）</w:t>
            </w:r>
          </w:p>
          <w:p>
            <w:pPr>
              <w:pStyle w:val="null3"/>
              <w:spacing w:before="60" w:after="60"/>
              <w:ind w:left="570"/>
              <w:jc w:val="left"/>
            </w:pPr>
            <w:r>
              <w:rPr>
                <w:rFonts w:ascii="仿宋_GB2312" w:hAnsi="仿宋_GB2312" w:cs="仿宋_GB2312" w:eastAsia="仿宋_GB2312"/>
                <w:sz w:val="20"/>
              </w:rPr>
              <w:t>5.4.</w:t>
            </w:r>
            <w:r>
              <w:rPr>
                <w:rFonts w:ascii="仿宋_GB2312" w:hAnsi="仿宋_GB2312" w:cs="仿宋_GB2312" w:eastAsia="仿宋_GB2312"/>
                <w:sz w:val="20"/>
              </w:rPr>
              <w:t>网络：</w:t>
            </w:r>
            <w:r>
              <w:rPr>
                <w:rFonts w:ascii="仿宋_GB2312" w:hAnsi="仿宋_GB2312" w:cs="仿宋_GB2312" w:eastAsia="仿宋_GB2312"/>
                <w:sz w:val="20"/>
              </w:rPr>
              <w:t>≥4</w:t>
            </w:r>
            <w:r>
              <w:rPr>
                <w:rFonts w:ascii="仿宋_GB2312" w:hAnsi="仿宋_GB2312" w:cs="仿宋_GB2312" w:eastAsia="仿宋_GB2312"/>
                <w:sz w:val="20"/>
              </w:rPr>
              <w:t>千兆电口</w:t>
            </w:r>
            <w:r>
              <w:rPr>
                <w:rFonts w:ascii="仿宋_GB2312" w:hAnsi="仿宋_GB2312" w:cs="仿宋_GB2312" w:eastAsia="仿宋_GB2312"/>
                <w:sz w:val="20"/>
              </w:rPr>
              <w:t>+4万兆光口（满配光模块）</w:t>
            </w:r>
            <w:r>
              <w:rPr>
                <w:rFonts w:ascii="仿宋_GB2312" w:hAnsi="仿宋_GB2312" w:cs="仿宋_GB2312" w:eastAsia="仿宋_GB2312"/>
                <w:sz w:val="20"/>
              </w:rPr>
              <w:t>（提供</w:t>
            </w:r>
            <w:r>
              <w:rPr>
                <w:rFonts w:ascii="仿宋_GB2312" w:hAnsi="仿宋_GB2312" w:cs="仿宋_GB2312" w:eastAsia="仿宋_GB2312"/>
                <w:sz w:val="20"/>
              </w:rPr>
              <w:t>承诺函，并加盖公章）</w:t>
            </w:r>
          </w:p>
          <w:p>
            <w:pPr>
              <w:pStyle w:val="null3"/>
            </w:pPr>
            <w:r>
              <w:rPr>
                <w:rFonts w:ascii="仿宋_GB2312" w:hAnsi="仿宋_GB2312" w:cs="仿宋_GB2312" w:eastAsia="仿宋_GB2312"/>
                <w:sz w:val="20"/>
              </w:rPr>
              <w:t>5.5.</w:t>
            </w:r>
            <w:r>
              <w:rPr>
                <w:rFonts w:ascii="仿宋_GB2312" w:hAnsi="仿宋_GB2312" w:cs="仿宋_GB2312" w:eastAsia="仿宋_GB2312"/>
                <w:sz w:val="20"/>
              </w:rPr>
              <w:t>电源：冗余白金电源</w:t>
            </w:r>
            <w:r>
              <w:rPr>
                <w:rFonts w:ascii="仿宋_GB2312" w:hAnsi="仿宋_GB2312" w:cs="仿宋_GB2312" w:eastAsia="仿宋_GB2312"/>
                <w:sz w:val="20"/>
              </w:rPr>
              <w:t>*2</w:t>
            </w:r>
            <w:r>
              <w:rPr>
                <w:rFonts w:ascii="仿宋_GB2312" w:hAnsi="仿宋_GB2312" w:cs="仿宋_GB2312" w:eastAsia="仿宋_GB2312"/>
                <w:sz w:val="20"/>
              </w:rPr>
              <w:t>（提供</w:t>
            </w:r>
            <w:r>
              <w:rPr>
                <w:rFonts w:ascii="仿宋_GB2312" w:hAnsi="仿宋_GB2312" w:cs="仿宋_GB2312" w:eastAsia="仿宋_GB2312"/>
                <w:sz w:val="20"/>
              </w:rPr>
              <w:t>承诺函，并加盖公章）</w:t>
            </w:r>
          </w:p>
          <w:p>
            <w:pPr>
              <w:pStyle w:val="null3"/>
              <w:jc w:val="both"/>
            </w:pPr>
            <w:r>
              <w:rPr>
                <w:rFonts w:ascii="仿宋_GB2312" w:hAnsi="仿宋_GB2312" w:cs="仿宋_GB2312" w:eastAsia="仿宋_GB2312"/>
                <w:sz w:val="20"/>
              </w:rPr>
              <w:t>四、服务要求：</w:t>
            </w:r>
          </w:p>
          <w:p>
            <w:pPr>
              <w:pStyle w:val="null3"/>
              <w:spacing w:before="165" w:after="75"/>
              <w:ind w:left="420"/>
              <w:jc w:val="both"/>
              <w:outlineLvl w:val="2"/>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售后支持与故障响应</w:t>
            </w:r>
            <w:r>
              <w:rPr>
                <w:rFonts w:ascii="仿宋_GB2312" w:hAnsi="仿宋_GB2312" w:cs="仿宋_GB2312" w:eastAsia="仿宋_GB2312"/>
                <w:sz w:val="20"/>
                <w:b/>
                <w:color w:val="000000"/>
              </w:rPr>
              <w:t>SLA</w:t>
            </w:r>
          </w:p>
          <w:p>
            <w:pPr>
              <w:pStyle w:val="null3"/>
              <w:spacing w:before="75" w:after="45"/>
              <w:jc w:val="both"/>
            </w:pPr>
            <w:r>
              <w:rPr>
                <w:rFonts w:ascii="仿宋_GB2312" w:hAnsi="仿宋_GB2312" w:cs="仿宋_GB2312" w:eastAsia="仿宋_GB2312"/>
                <w:sz w:val="20"/>
                <w:color w:val="000000"/>
              </w:rPr>
              <w:t xml:space="preserve">      (1)</w:t>
            </w:r>
            <w:r>
              <w:rPr>
                <w:rFonts w:ascii="仿宋_GB2312" w:hAnsi="仿宋_GB2312" w:cs="仿宋_GB2312" w:eastAsia="仿宋_GB2312"/>
                <w:sz w:val="20"/>
                <w:color w:val="000000"/>
              </w:rPr>
              <w:t>服务承诺</w:t>
            </w:r>
          </w:p>
          <w:p>
            <w:pPr>
              <w:pStyle w:val="null3"/>
              <w:spacing w:before="60" w:after="60"/>
              <w:ind w:firstLine="400"/>
              <w:jc w:val="left"/>
            </w:pPr>
            <w:r>
              <w:rPr>
                <w:rFonts w:ascii="仿宋_GB2312" w:hAnsi="仿宋_GB2312" w:cs="仿宋_GB2312" w:eastAsia="仿宋_GB2312"/>
                <w:sz w:val="20"/>
              </w:rPr>
              <w:t>本项目服务的核心不在于修补故障本身，而在于构建一套主动预测、快速反应、持续改进的闭环运维体系</w:t>
            </w:r>
            <w:r>
              <w:rPr>
                <w:rFonts w:ascii="仿宋_GB2312" w:hAnsi="仿宋_GB2312" w:cs="仿宋_GB2312" w:eastAsia="仿宋_GB2312"/>
                <w:sz w:val="20"/>
              </w:rPr>
              <w:t>。供应商必须将售后服务从</w:t>
            </w:r>
            <w:r>
              <w:rPr>
                <w:rFonts w:ascii="仿宋_GB2312" w:hAnsi="仿宋_GB2312" w:cs="仿宋_GB2312" w:eastAsia="仿宋_GB2312"/>
                <w:sz w:val="20"/>
              </w:rPr>
              <w:t>“被动响应”升级为“主动运营”，确保所有承诺均可量化和审计。</w:t>
            </w:r>
          </w:p>
          <w:p>
            <w:pPr>
              <w:pStyle w:val="null3"/>
              <w:spacing w:before="60" w:after="60"/>
              <w:ind w:firstLine="400"/>
              <w:jc w:val="left"/>
            </w:pPr>
            <w:r>
              <w:rPr>
                <w:rFonts w:ascii="仿宋_GB2312" w:hAnsi="仿宋_GB2312" w:cs="仿宋_GB2312" w:eastAsia="仿宋_GB2312"/>
                <w:sz w:val="20"/>
              </w:rPr>
              <w:t>服务还包含预测性维保。供应商必须利用其专业工具，对平台资源进行趋势分析，主动预警容量瓶颈、硬件老化风险等潜在问题，确保系统在故障发生前得到优化调整。最后，所有的服务流程都须纳入合同的违约责任机制：一旦未能达到</w:t>
            </w:r>
            <w:r>
              <w:rPr>
                <w:rFonts w:ascii="仿宋_GB2312" w:hAnsi="仿宋_GB2312" w:cs="仿宋_GB2312" w:eastAsia="仿宋_GB2312"/>
                <w:sz w:val="20"/>
              </w:rPr>
              <w:t>SLA 承诺的标准，我院有权依据工单记录和报告结果，启动相应的经济处罚或降低后续服务的技术级别。</w:t>
            </w:r>
          </w:p>
          <w:p>
            <w:pPr>
              <w:pStyle w:val="null3"/>
              <w:spacing w:before="75" w:after="45"/>
              <w:ind w:left="420"/>
              <w:jc w:val="center"/>
              <w:outlineLvl w:val="3"/>
            </w:pPr>
            <w:r>
              <w:rPr>
                <w:rFonts w:ascii="仿宋_GB2312" w:hAnsi="仿宋_GB2312" w:cs="仿宋_GB2312" w:eastAsia="仿宋_GB2312"/>
                <w:sz w:val="20"/>
                <w:b/>
                <w:color w:val="000000"/>
              </w:rPr>
              <w:t>服务承诺核心指标概览表</w:t>
            </w:r>
          </w:p>
          <w:tbl>
            <w:tblPr>
              <w:tblInd w:type="dxa" w:w="135"/>
              <w:tblBorders>
                <w:top w:val="none" w:color="000000" w:sz="4"/>
                <w:left w:val="none" w:color="000000" w:sz="4"/>
                <w:bottom w:val="none" w:color="000000" w:sz="4"/>
                <w:right w:val="none" w:color="000000" w:sz="4"/>
                <w:insideH w:val="none"/>
                <w:insideV w:val="none"/>
              </w:tblBorders>
            </w:tblPr>
            <w:tblGrid>
              <w:gridCol w:w="579"/>
              <w:gridCol w:w="631"/>
              <w:gridCol w:w="389"/>
              <w:gridCol w:w="379"/>
              <w:gridCol w:w="563"/>
            </w:tblGrid>
            <w:tr>
              <w:tc>
                <w:tcPr>
                  <w:tcW w:type="dxa" w:w="5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故障严重级别</w:t>
                  </w:r>
                </w:p>
              </w:tc>
              <w:tc>
                <w:tcPr>
                  <w:tcW w:type="dxa" w:w="6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业务影响定义</w:t>
                  </w:r>
                </w:p>
              </w:tc>
              <w:tc>
                <w:tcPr>
                  <w:tcW w:type="dxa" w:w="3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一级响应目标</w:t>
                  </w:r>
                </w:p>
              </w:tc>
              <w:tc>
                <w:tcPr>
                  <w:tcW w:type="dxa" w:w="3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平均恢复时间目标</w:t>
                  </w:r>
                </w:p>
              </w:tc>
              <w:tc>
                <w:tcPr>
                  <w:tcW w:type="dxa" w:w="56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年度可用性保障要求</w:t>
                  </w:r>
                </w:p>
              </w:tc>
            </w:tr>
            <w:tr>
              <w:tc>
                <w:tcPr>
                  <w:tcW w:type="dxa" w:w="5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P1 级别（核心瘫痪）</w:t>
                  </w:r>
                </w:p>
              </w:tc>
              <w:tc>
                <w:tcPr>
                  <w:tcW w:type="dxa" w:w="63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平台或主业务系统完全中断，直接影响临床诊疗。</w:t>
                  </w:r>
                </w:p>
              </w:tc>
              <w:tc>
                <w:tcPr>
                  <w:tcW w:type="dxa" w:w="38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15 分钟</w:t>
                  </w:r>
                </w:p>
              </w:tc>
              <w:tc>
                <w:tcPr>
                  <w:tcW w:type="dxa" w:w="3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4 小时</w:t>
                  </w:r>
                </w:p>
              </w:tc>
              <w:tc>
                <w:tcPr>
                  <w:tcW w:type="dxa" w:w="56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 xml:space="preserve">99.99% (最大允许宕机时长 </w:t>
                  </w:r>
                  <w:r>
                    <w:rPr>
                      <w:rFonts w:ascii="仿宋_GB2312" w:hAnsi="仿宋_GB2312" w:cs="仿宋_GB2312" w:eastAsia="仿宋_GB2312"/>
                      <w:sz w:val="20"/>
                    </w:rPr>
                    <w:t>≤52.6</w:t>
                  </w:r>
                  <w:r>
                    <w:rPr>
                      <w:rFonts w:ascii="仿宋_GB2312" w:hAnsi="仿宋_GB2312" w:cs="仿宋_GB2312" w:eastAsia="仿宋_GB2312"/>
                      <w:sz w:val="20"/>
                    </w:rPr>
                    <w:t xml:space="preserve"> </w:t>
                  </w:r>
                  <w:r>
                    <w:rPr>
                      <w:rFonts w:ascii="仿宋_GB2312" w:hAnsi="仿宋_GB2312" w:cs="仿宋_GB2312" w:eastAsia="仿宋_GB2312"/>
                      <w:sz w:val="20"/>
                    </w:rPr>
                    <w:t>分钟</w:t>
                  </w:r>
                  <w:r>
                    <w:rPr>
                      <w:rFonts w:ascii="仿宋_GB2312" w:hAnsi="仿宋_GB2312" w:cs="仿宋_GB2312" w:eastAsia="仿宋_GB2312"/>
                      <w:sz w:val="20"/>
                    </w:rPr>
                    <w:t>)</w:t>
                  </w:r>
                </w:p>
              </w:tc>
            </w:tr>
            <w:tr>
              <w:tc>
                <w:tcPr>
                  <w:tcW w:type="dxa" w:w="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P2 级别（严重降级）</w:t>
                  </w:r>
                </w:p>
              </w:tc>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重要服务功能大幅下降，影响多部门工作流。</w:t>
                  </w:r>
                </w:p>
              </w:tc>
              <w:tc>
                <w:tcPr>
                  <w:tcW w:type="dxa" w:w="3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 小时</w:t>
                  </w:r>
                </w:p>
              </w:tc>
              <w:tc>
                <w:tcPr>
                  <w:tcW w:type="dxa" w:w="3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8 小时</w:t>
                  </w:r>
                </w:p>
              </w:tc>
              <w:tc>
                <w:tcPr>
                  <w:tcW w:type="dxa" w:w="5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w:t>
                  </w:r>
                </w:p>
              </w:tc>
            </w:tr>
            <w:tr>
              <w:tc>
                <w:tcPr>
                  <w:tcW w:type="dxa" w:w="5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P3 级别（局部异常）</w:t>
                  </w:r>
                </w:p>
              </w:tc>
              <w:tc>
                <w:tcPr>
                  <w:tcW w:type="dxa" w:w="63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单个用户或非核心模块出现问题，可绕过解决。</w:t>
                  </w:r>
                </w:p>
              </w:tc>
              <w:tc>
                <w:tcPr>
                  <w:tcW w:type="dxa" w:w="38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2 小时</w:t>
                  </w:r>
                </w:p>
              </w:tc>
              <w:tc>
                <w:tcPr>
                  <w:tcW w:type="dxa" w:w="3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 个工作日</w:t>
                  </w:r>
                </w:p>
              </w:tc>
              <w:tc>
                <w:tcPr>
                  <w:tcW w:type="dxa" w:w="56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w:t>
                  </w:r>
                </w:p>
              </w:tc>
            </w:tr>
          </w:tbl>
          <w:p>
            <w:pPr>
              <w:pStyle w:val="null3"/>
              <w:spacing w:before="165" w:after="75"/>
              <w:ind w:left="420"/>
              <w:jc w:val="both"/>
              <w:outlineLvl w:val="2"/>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运维与专业支持（运营交付物）</w:t>
            </w:r>
          </w:p>
          <w:p>
            <w:pPr>
              <w:pStyle w:val="null3"/>
              <w:ind w:firstLine="400"/>
              <w:jc w:val="both"/>
            </w:pPr>
            <w:r>
              <w:rPr>
                <w:rFonts w:ascii="仿宋_GB2312" w:hAnsi="仿宋_GB2312" w:cs="仿宋_GB2312" w:eastAsia="仿宋_GB2312"/>
                <w:sz w:val="20"/>
              </w:rPr>
              <w:t>定期巡检服务：</w:t>
            </w:r>
            <w:r>
              <w:rPr>
                <w:rFonts w:ascii="仿宋_GB2312" w:hAnsi="仿宋_GB2312" w:cs="仿宋_GB2312" w:eastAsia="仿宋_GB2312"/>
                <w:sz w:val="20"/>
              </w:rPr>
              <w:t>提供每年不少于</w:t>
            </w:r>
            <w:r>
              <w:rPr>
                <w:rFonts w:ascii="仿宋_GB2312" w:hAnsi="仿宋_GB2312" w:cs="仿宋_GB2312" w:eastAsia="仿宋_GB2312"/>
                <w:sz w:val="20"/>
              </w:rPr>
              <w:t>4次的高级上门巡检，每次必须出具详细的《系统健康度检测报告》，该报告需包含故障预警、容量趋势分析及优化建议。</w:t>
            </w:r>
          </w:p>
          <w:p>
            <w:pPr>
              <w:pStyle w:val="null3"/>
            </w:pPr>
            <w:r>
              <w:rPr>
                <w:rFonts w:ascii="仿宋_GB2312" w:hAnsi="仿宋_GB2312" w:cs="仿宋_GB2312" w:eastAsia="仿宋_GB2312"/>
                <w:sz w:val="20"/>
              </w:rPr>
              <w:t>季度业务报告：</w:t>
            </w:r>
            <w:r>
              <w:rPr>
                <w:rFonts w:ascii="仿宋_GB2312" w:hAnsi="仿宋_GB2312" w:cs="仿宋_GB2312" w:eastAsia="仿宋_GB2312"/>
                <w:sz w:val="20"/>
              </w:rPr>
              <w:t>提交每月的《</w:t>
            </w:r>
            <w:r>
              <w:rPr>
                <w:rFonts w:ascii="仿宋_GB2312" w:hAnsi="仿宋_GB2312" w:cs="仿宋_GB2312" w:eastAsia="仿宋_GB2312"/>
                <w:sz w:val="20"/>
              </w:rPr>
              <w:t>IT运维综合评估与风险预测报告》，内容应包括：平台关键指标健康风险曲线图、未来三个月的资源瓶颈预警，以及针对医院核心业务的运行状态诊断结论。</w:t>
            </w:r>
          </w:p>
          <w:p>
            <w:pPr>
              <w:pStyle w:val="null3"/>
              <w:jc w:val="both"/>
            </w:pPr>
            <w:r>
              <w:rPr>
                <w:rFonts w:ascii="仿宋_GB2312" w:hAnsi="仿宋_GB2312" w:cs="仿宋_GB2312" w:eastAsia="仿宋_GB2312"/>
                <w:sz w:val="20"/>
              </w:rPr>
              <w:t>五、商务要求：</w:t>
            </w:r>
          </w:p>
          <w:p>
            <w:pPr>
              <w:pStyle w:val="null3"/>
              <w:jc w:val="both"/>
            </w:pPr>
            <w:r>
              <w:rPr>
                <w:rFonts w:ascii="仿宋_GB2312" w:hAnsi="仿宋_GB2312" w:cs="仿宋_GB2312" w:eastAsia="仿宋_GB2312"/>
                <w:sz w:val="20"/>
              </w:rPr>
              <w:t xml:space="preserve">     （一）</w:t>
            </w:r>
            <w:r>
              <w:rPr>
                <w:rFonts w:ascii="仿宋_GB2312" w:hAnsi="仿宋_GB2312" w:cs="仿宋_GB2312" w:eastAsia="仿宋_GB2312"/>
                <w:sz w:val="20"/>
              </w:rPr>
              <w:t>质保</w:t>
            </w:r>
            <w:r>
              <w:rPr>
                <w:rFonts w:ascii="仿宋_GB2312" w:hAnsi="仿宋_GB2312" w:cs="仿宋_GB2312" w:eastAsia="仿宋_GB2312"/>
                <w:sz w:val="20"/>
              </w:rPr>
              <w:t>期限</w:t>
            </w:r>
            <w:r>
              <w:rPr>
                <w:rFonts w:ascii="仿宋_GB2312" w:hAnsi="仿宋_GB2312" w:cs="仿宋_GB2312" w:eastAsia="仿宋_GB2312"/>
                <w:sz w:val="20"/>
              </w:rPr>
              <w:t>：</w:t>
            </w:r>
          </w:p>
          <w:p>
            <w:pPr>
              <w:pStyle w:val="null3"/>
              <w:ind w:firstLine="400"/>
            </w:pPr>
            <w:r>
              <w:rPr>
                <w:rFonts w:ascii="仿宋_GB2312" w:hAnsi="仿宋_GB2312" w:cs="仿宋_GB2312" w:eastAsia="仿宋_GB2312"/>
              </w:rPr>
              <w:t>合同签订后，自验收合格之日起</w:t>
            </w:r>
            <w:r>
              <w:rPr>
                <w:rFonts w:ascii="仿宋_GB2312" w:hAnsi="仿宋_GB2312" w:cs="仿宋_GB2312" w:eastAsia="仿宋_GB2312"/>
              </w:rPr>
              <w:t>3年。</w:t>
            </w:r>
          </w:p>
          <w:p>
            <w:pPr>
              <w:pStyle w:val="null3"/>
              <w:jc w:val="both"/>
            </w:pPr>
            <w:r>
              <w:rPr>
                <w:rFonts w:ascii="仿宋_GB2312" w:hAnsi="仿宋_GB2312" w:cs="仿宋_GB2312" w:eastAsia="仿宋_GB2312"/>
                <w:sz w:val="20"/>
              </w:rPr>
              <w:t xml:space="preserve">     （二）</w:t>
            </w:r>
            <w:r>
              <w:rPr>
                <w:rFonts w:ascii="仿宋_GB2312" w:hAnsi="仿宋_GB2312" w:cs="仿宋_GB2312" w:eastAsia="仿宋_GB2312"/>
                <w:sz w:val="20"/>
              </w:rPr>
              <w:t>款项结算：</w:t>
            </w:r>
          </w:p>
          <w:p>
            <w:pPr>
              <w:pStyle w:val="null3"/>
            </w:pPr>
            <w:r>
              <w:rPr>
                <w:rFonts w:ascii="仿宋_GB2312" w:hAnsi="仿宋_GB2312" w:cs="仿宋_GB2312" w:eastAsia="仿宋_GB2312"/>
                <w:sz w:val="20"/>
              </w:rPr>
              <w:t xml:space="preserve">         银行转账，甲方付款前，乙方应先向甲方提供等额发票及付款申请，否则甲方有权暂不付款，乙方仍应履行合同义务。合同签订后，货物到场并检验合格预付</w:t>
            </w:r>
            <w:r>
              <w:rPr>
                <w:rFonts w:ascii="仿宋_GB2312" w:hAnsi="仿宋_GB2312" w:cs="仿宋_GB2312" w:eastAsia="仿宋_GB2312"/>
                <w:sz w:val="20"/>
              </w:rPr>
              <w:t>，达到付款条件起</w:t>
            </w:r>
            <w:r>
              <w:rPr>
                <w:rFonts w:ascii="仿宋_GB2312" w:hAnsi="仿宋_GB2312" w:cs="仿宋_GB2312" w:eastAsia="仿宋_GB2312"/>
                <w:sz w:val="20"/>
              </w:rPr>
              <w:t>30</w:t>
            </w:r>
            <w:r>
              <w:rPr>
                <w:rFonts w:ascii="仿宋_GB2312" w:hAnsi="仿宋_GB2312" w:cs="仿宋_GB2312" w:eastAsia="仿宋_GB2312"/>
                <w:sz w:val="20"/>
              </w:rPr>
              <w:t>个</w:t>
            </w:r>
            <w:r>
              <w:rPr>
                <w:rFonts w:ascii="仿宋_GB2312" w:hAnsi="仿宋_GB2312" w:cs="仿宋_GB2312" w:eastAsia="仿宋_GB2312"/>
                <w:sz w:val="20"/>
              </w:rPr>
              <w:t>工作日</w:t>
            </w:r>
            <w:r>
              <w:rPr>
                <w:rFonts w:ascii="仿宋_GB2312" w:hAnsi="仿宋_GB2312" w:cs="仿宋_GB2312" w:eastAsia="仿宋_GB2312"/>
                <w:sz w:val="20"/>
              </w:rPr>
              <w:t>支付合同总金额的</w:t>
            </w:r>
            <w:r>
              <w:rPr>
                <w:rFonts w:ascii="仿宋_GB2312" w:hAnsi="仿宋_GB2312" w:cs="仿宋_GB2312" w:eastAsia="仿宋_GB2312"/>
                <w:sz w:val="20"/>
              </w:rPr>
              <w:t>30.00%；项目安装调试完成，并通过验收后，达到付款条件起30个</w:t>
            </w:r>
            <w:r>
              <w:rPr>
                <w:rFonts w:ascii="仿宋_GB2312" w:hAnsi="仿宋_GB2312" w:cs="仿宋_GB2312" w:eastAsia="仿宋_GB2312"/>
                <w:sz w:val="20"/>
              </w:rPr>
              <w:t>工作日</w:t>
            </w:r>
            <w:r>
              <w:rPr>
                <w:rFonts w:ascii="仿宋_GB2312" w:hAnsi="仿宋_GB2312" w:cs="仿宋_GB2312" w:eastAsia="仿宋_GB2312"/>
                <w:sz w:val="20"/>
              </w:rPr>
              <w:t>支付合同总金额的</w:t>
            </w:r>
            <w:r>
              <w:rPr>
                <w:rFonts w:ascii="仿宋_GB2312" w:hAnsi="仿宋_GB2312" w:cs="仿宋_GB2312" w:eastAsia="仿宋_GB2312"/>
                <w:sz w:val="20"/>
              </w:rPr>
              <w:t>65.00%； 考核合格后，达到付款条件起 30</w:t>
            </w:r>
            <w:r>
              <w:rPr>
                <w:rFonts w:ascii="仿宋_GB2312" w:hAnsi="仿宋_GB2312" w:cs="仿宋_GB2312" w:eastAsia="仿宋_GB2312"/>
                <w:sz w:val="20"/>
              </w:rPr>
              <w:t>工作日</w:t>
            </w:r>
            <w:r>
              <w:rPr>
                <w:rFonts w:ascii="仿宋_GB2312" w:hAnsi="仿宋_GB2312" w:cs="仿宋_GB2312" w:eastAsia="仿宋_GB2312"/>
                <w:sz w:val="20"/>
              </w:rPr>
              <w:t>内，支付合同</w:t>
            </w:r>
            <w:r>
              <w:rPr>
                <w:rFonts w:ascii="仿宋_GB2312" w:hAnsi="仿宋_GB2312" w:cs="仿宋_GB2312" w:eastAsia="仿宋_GB2312"/>
                <w:sz w:val="20"/>
              </w:rPr>
              <w:t>总金额的</w:t>
            </w:r>
            <w:r>
              <w:rPr>
                <w:rFonts w:ascii="仿宋_GB2312" w:hAnsi="仿宋_GB2312" w:cs="仿宋_GB2312" w:eastAsia="仿宋_GB2312"/>
                <w:sz w:val="20"/>
              </w:rPr>
              <w:t>5.00%。</w:t>
            </w:r>
          </w:p>
          <w:p>
            <w:pPr>
              <w:pStyle w:val="null3"/>
            </w:pPr>
            <w:r>
              <w:rPr>
                <w:rFonts w:ascii="仿宋_GB2312" w:hAnsi="仿宋_GB2312" w:cs="仿宋_GB2312" w:eastAsia="仿宋_GB2312"/>
                <w:sz w:val="20"/>
              </w:rPr>
              <w:t xml:space="preserve"> 六、其他要求：</w:t>
            </w:r>
          </w:p>
          <w:p>
            <w:pPr>
              <w:pStyle w:val="null3"/>
              <w:ind w:firstLine="400"/>
              <w:jc w:val="both"/>
            </w:pPr>
            <w:r>
              <w:rPr>
                <w:rFonts w:ascii="仿宋_GB2312" w:hAnsi="仿宋_GB2312" w:cs="仿宋_GB2312" w:eastAsia="仿宋_GB2312"/>
                <w:sz w:val="20"/>
              </w:rPr>
              <w:t>1.进度要求：</w:t>
            </w:r>
          </w:p>
          <w:p>
            <w:pPr>
              <w:pStyle w:val="null3"/>
              <w:ind w:firstLine="400"/>
              <w:jc w:val="both"/>
            </w:pPr>
            <w:r>
              <w:rPr>
                <w:rFonts w:ascii="仿宋_GB2312" w:hAnsi="仿宋_GB2312" w:cs="仿宋_GB2312" w:eastAsia="仿宋_GB2312"/>
                <w:sz w:val="20"/>
              </w:rPr>
              <w:t>自合同签订之日起</w:t>
            </w:r>
            <w:r>
              <w:rPr>
                <w:rFonts w:ascii="仿宋_GB2312" w:hAnsi="仿宋_GB2312" w:cs="仿宋_GB2312" w:eastAsia="仿宋_GB2312"/>
                <w:sz w:val="20"/>
              </w:rPr>
              <w:t>30  日历日完成全部项目内容，并交付采购人验收合格。</w:t>
            </w:r>
          </w:p>
          <w:p>
            <w:pPr>
              <w:pStyle w:val="null3"/>
              <w:ind w:firstLine="400"/>
              <w:jc w:val="both"/>
            </w:pPr>
            <w:r>
              <w:rPr>
                <w:rFonts w:ascii="仿宋_GB2312" w:hAnsi="仿宋_GB2312" w:cs="仿宋_GB2312" w:eastAsia="仿宋_GB2312"/>
                <w:sz w:val="20"/>
              </w:rPr>
              <w:t>2.供应商应提供以下证明材料（不限于）：</w:t>
            </w:r>
          </w:p>
          <w:p>
            <w:pPr>
              <w:pStyle w:val="null3"/>
              <w:ind w:firstLine="400"/>
              <w:jc w:val="both"/>
            </w:pPr>
            <w:r>
              <w:rPr>
                <w:rFonts w:ascii="仿宋_GB2312" w:hAnsi="仿宋_GB2312" w:cs="仿宋_GB2312" w:eastAsia="仿宋_GB2312"/>
                <w:sz w:val="20"/>
              </w:rPr>
              <w:t>原厂商投标授权函；原厂商售后服务承诺书；云计算管理平台的软件著作权证书；产品合格证；质量检测报告。中国强制性产品认证（</w:t>
            </w:r>
            <w:r>
              <w:rPr>
                <w:rFonts w:ascii="仿宋_GB2312" w:hAnsi="仿宋_GB2312" w:cs="仿宋_GB2312" w:eastAsia="仿宋_GB2312"/>
                <w:sz w:val="20"/>
              </w:rPr>
              <w:t>3C）</w:t>
            </w:r>
          </w:p>
          <w:p>
            <w:pPr>
              <w:pStyle w:val="null3"/>
              <w:ind w:firstLine="400"/>
              <w:jc w:val="both"/>
            </w:pPr>
            <w:r>
              <w:rPr>
                <w:rFonts w:ascii="仿宋_GB2312" w:hAnsi="仿宋_GB2312" w:cs="仿宋_GB2312" w:eastAsia="仿宋_GB2312"/>
                <w:sz w:val="20"/>
              </w:rPr>
              <w:t>3.质量验收标准或规范：现行的国家标准或国家行政部门颁布的法律法规、规章制度等。</w:t>
            </w:r>
          </w:p>
          <w:tbl>
            <w:tblPr>
              <w:tblInd w:type="dxa" w:w="135"/>
              <w:tblBorders>
                <w:top w:val="none" w:color="000000" w:sz="4"/>
                <w:left w:val="none" w:color="000000" w:sz="4"/>
                <w:bottom w:val="none" w:color="000000" w:sz="4"/>
                <w:right w:val="none" w:color="000000" w:sz="4"/>
                <w:insideH w:val="none"/>
                <w:insideV w:val="none"/>
              </w:tblBorders>
            </w:tblPr>
            <w:tblGrid>
              <w:gridCol w:w="350"/>
              <w:gridCol w:w="629"/>
              <w:gridCol w:w="709"/>
              <w:gridCol w:w="864"/>
            </w:tblGrid>
            <w:tr>
              <w:tc>
                <w:tcPr>
                  <w:tcW w:type="dxa" w:w="3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验收级别</w:t>
                  </w:r>
                </w:p>
              </w:tc>
              <w:tc>
                <w:tcPr>
                  <w:tcW w:type="dxa" w:w="6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目标与目的</w:t>
                  </w:r>
                </w:p>
              </w:tc>
              <w:tc>
                <w:tcPr>
                  <w:tcW w:type="dxa" w:w="70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验证内容</w:t>
                  </w:r>
                </w:p>
              </w:tc>
              <w:tc>
                <w:tcPr>
                  <w:tcW w:type="dxa" w:w="8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bottom"/>
                </w:tcPr>
                <w:p>
                  <w:pPr>
                    <w:pStyle w:val="null3"/>
                    <w:jc w:val="center"/>
                  </w:pPr>
                  <w:r>
                    <w:rPr>
                      <w:rFonts w:ascii="仿宋_GB2312" w:hAnsi="仿宋_GB2312" w:cs="仿宋_GB2312" w:eastAsia="仿宋_GB2312"/>
                      <w:sz w:val="20"/>
                    </w:rPr>
                    <w:t>关键验收标准</w:t>
                  </w:r>
                </w:p>
              </w:tc>
            </w:tr>
            <w:tr>
              <w:tc>
                <w:tcPr>
                  <w:tcW w:type="dxa" w:w="35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L1：功能性测试</w:t>
                  </w:r>
                </w:p>
              </w:tc>
              <w:tc>
                <w:tcPr>
                  <w:tcW w:type="dxa" w:w="62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确认所有硬件和软件模块是否已按规格配置完毕。</w:t>
                  </w:r>
                </w:p>
              </w:tc>
              <w:tc>
                <w:tcPr>
                  <w:tcW w:type="dxa" w:w="70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单机性能测试、基础连接性测试、各项功能开关验证（如快照、隔离）。</w:t>
                  </w:r>
                </w:p>
              </w:tc>
              <w:tc>
                <w:tcPr>
                  <w:tcW w:type="dxa" w:w="8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所有核心功能必须通过供应商现场演示，并形成《功能验收表》。</w:t>
                  </w:r>
                </w:p>
              </w:tc>
            </w:tr>
            <w:tr>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L2：集成与业务联调</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确认新平台能承载医院真实的核心业务流程，无缝替换旧系统。</w:t>
                  </w:r>
                </w:p>
              </w:tc>
              <w:tc>
                <w:tcPr>
                  <w:tcW w:type="dxa" w:w="7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选取至少</w:t>
                  </w:r>
                  <w:r>
                    <w:rPr>
                      <w:rFonts w:ascii="仿宋_GB2312" w:hAnsi="仿宋_GB2312" w:cs="仿宋_GB2312" w:eastAsia="仿宋_GB2312"/>
                      <w:sz w:val="20"/>
                    </w:rPr>
                    <w:t>1 个关键业务系统进行完整迁移、全周期运行模拟（如夜间/节假日）。</w:t>
                  </w:r>
                </w:p>
              </w:tc>
              <w:tc>
                <w:tcPr>
                  <w:tcW w:type="dxa" w:w="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所有核心业务系统在测试期间需达到</w:t>
                  </w:r>
                  <w:r>
                    <w:rPr>
                      <w:rFonts w:ascii="仿宋_GB2312" w:hAnsi="仿宋_GB2312" w:cs="仿宋_GB2312" w:eastAsia="仿宋_GB2312"/>
                      <w:sz w:val="20"/>
                    </w:rPr>
                    <w:t>零故障；并签署《用户验收报告》，确认所有功能满足医院实际需求。</w:t>
                  </w:r>
                </w:p>
              </w:tc>
            </w:tr>
            <w:tr>
              <w:tc>
                <w:tcPr>
                  <w:tcW w:type="dxa" w:w="35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L3：稳定运营终验</w:t>
                  </w:r>
                </w:p>
              </w:tc>
              <w:tc>
                <w:tcPr>
                  <w:tcW w:type="dxa" w:w="62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评估平台架构的长期稳定性、运维机制的健全性，确保平稳过渡到我院日常运维管理。</w:t>
                  </w:r>
                </w:p>
              </w:tc>
              <w:tc>
                <w:tcPr>
                  <w:tcW w:type="dxa" w:w="70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运行至少</w:t>
                  </w:r>
                  <w:r>
                    <w:rPr>
                      <w:rFonts w:ascii="仿宋_GB2312" w:hAnsi="仿宋_GB2312" w:cs="仿宋_GB2312" w:eastAsia="仿宋_GB2312"/>
                      <w:sz w:val="20"/>
                    </w:rPr>
                    <w:t>15天的系统压力测试和故障模拟演练；提交完整的培训与文档资料。</w:t>
                  </w:r>
                </w:p>
              </w:tc>
              <w:tc>
                <w:tcPr>
                  <w:tcW w:type="dxa" w:w="8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20"/>
                    </w:rPr>
                    <w:t>通过</w:t>
                  </w:r>
                  <w:r>
                    <w:rPr>
                      <w:rFonts w:ascii="仿宋_GB2312" w:hAnsi="仿宋_GB2312" w:cs="仿宋_GB2312" w:eastAsia="仿宋_GB2312"/>
                      <w:sz w:val="20"/>
                    </w:rPr>
                    <w:t>L2验收并成功进入稳定运行期后，方可视为项目整体竣工。</w:t>
                  </w:r>
                </w:p>
              </w:tc>
            </w:tr>
          </w:tbl>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成果交付要求：明确服务商应提交的最终成果内容、规格和数量等</w:t>
            </w:r>
          </w:p>
          <w:p>
            <w:pPr>
              <w:pStyle w:val="null3"/>
              <w:spacing w:before="60" w:after="60"/>
              <w:ind w:firstLine="400"/>
              <w:jc w:val="left"/>
            </w:pPr>
            <w:r>
              <w:rPr>
                <w:rFonts w:ascii="仿宋_GB2312" w:hAnsi="仿宋_GB2312" w:cs="仿宋_GB2312" w:eastAsia="仿宋_GB2312"/>
                <w:sz w:val="20"/>
              </w:rPr>
              <w:t>硬件层面：</w:t>
            </w:r>
            <w:r>
              <w:rPr>
                <w:rFonts w:ascii="仿宋_GB2312" w:hAnsi="仿宋_GB2312" w:cs="仿宋_GB2312" w:eastAsia="仿宋_GB2312"/>
                <w:sz w:val="20"/>
              </w:rPr>
              <w:t>所有设备原厂型号、序列号列表；设备的详细维保手册和快速修复指南。</w:t>
            </w:r>
          </w:p>
          <w:p>
            <w:pPr>
              <w:pStyle w:val="null3"/>
              <w:spacing w:before="60" w:after="60"/>
              <w:ind w:firstLine="400"/>
              <w:jc w:val="left"/>
            </w:pPr>
            <w:r>
              <w:rPr>
                <w:rFonts w:ascii="仿宋_GB2312" w:hAnsi="仿宋_GB2312" w:cs="仿宋_GB2312" w:eastAsia="仿宋_GB2312"/>
                <w:sz w:val="20"/>
              </w:rPr>
              <w:t>软件授权：</w:t>
            </w:r>
            <w:r>
              <w:rPr>
                <w:rFonts w:ascii="仿宋_GB2312" w:hAnsi="仿宋_GB2312" w:cs="仿宋_GB2312" w:eastAsia="仿宋_GB2312"/>
                <w:sz w:val="20"/>
              </w:rPr>
              <w:t>所有虚拟化平台（计算</w:t>
            </w:r>
            <w:r>
              <w:rPr>
                <w:rFonts w:ascii="仿宋_GB2312" w:hAnsi="仿宋_GB2312" w:cs="仿宋_GB2312" w:eastAsia="仿宋_GB2312"/>
                <w:sz w:val="20"/>
              </w:rPr>
              <w:t>/存储/网络）的正式版永久或订阅授权证书，以及版本迭代升级权益证明。</w:t>
            </w:r>
          </w:p>
          <w:p>
            <w:pPr>
              <w:pStyle w:val="null3"/>
              <w:spacing w:before="60" w:after="60"/>
              <w:ind w:firstLine="400"/>
              <w:jc w:val="left"/>
            </w:pPr>
            <w:r>
              <w:rPr>
                <w:rFonts w:ascii="仿宋_GB2312" w:hAnsi="仿宋_GB2312" w:cs="仿宋_GB2312" w:eastAsia="仿宋_GB2312"/>
                <w:sz w:val="20"/>
              </w:rPr>
              <w:t>技术文档包：</w:t>
            </w:r>
            <w:r>
              <w:rPr>
                <w:rFonts w:ascii="仿宋_GB2312" w:hAnsi="仿宋_GB2312" w:cs="仿宋_GB2312" w:eastAsia="仿宋_GB2312"/>
                <w:sz w:val="20"/>
              </w:rPr>
              <w:t>完整的架构设计图（包括东西向、南北向流量模型）；系统部署手册；故障排查决策树。</w:t>
            </w:r>
          </w:p>
          <w:p>
            <w:pPr>
              <w:pStyle w:val="null3"/>
              <w:spacing w:before="60" w:after="60"/>
              <w:ind w:firstLine="400"/>
              <w:jc w:val="left"/>
            </w:pPr>
            <w:r>
              <w:rPr>
                <w:rFonts w:ascii="仿宋_GB2312" w:hAnsi="仿宋_GB2312" w:cs="仿宋_GB2312" w:eastAsia="仿宋_GB2312"/>
                <w:sz w:val="20"/>
              </w:rPr>
              <w:t>服务记录件：</w:t>
            </w:r>
            <w:r>
              <w:rPr>
                <w:rFonts w:ascii="仿宋_GB2312" w:hAnsi="仿宋_GB2312" w:cs="仿宋_GB2312" w:eastAsia="仿宋_GB2312"/>
                <w:sz w:val="20"/>
              </w:rPr>
              <w:t>所有培训课程录像和</w:t>
            </w:r>
            <w:r>
              <w:rPr>
                <w:rFonts w:ascii="仿宋_GB2312" w:hAnsi="仿宋_GB2312" w:cs="仿宋_GB2312" w:eastAsia="仿宋_GB2312"/>
                <w:sz w:val="20"/>
              </w:rPr>
              <w:t>PPT资料；最终的《项目实施及运维交接报告》；所有关键服务的SLA合规性证明。</w:t>
            </w:r>
          </w:p>
          <w:p>
            <w:pPr>
              <w:pStyle w:val="null3"/>
              <w:jc w:val="both"/>
            </w:pPr>
            <w:r>
              <w:rPr>
                <w:rFonts w:ascii="仿宋_GB2312" w:hAnsi="仿宋_GB2312" w:cs="仿宋_GB2312" w:eastAsia="仿宋_GB2312"/>
                <w:sz w:val="20"/>
              </w:rPr>
              <w:t xml:space="preserve">     5.供货参数、功能与投标文件内容不符，合同自动作废且乙方必须退还甲方所有款项及相关费用。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30 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进度款，甲方付款前，乙方应先向甲方提供等额发票及付款申请，否则甲方有权暂不付款，乙方仍应履行合同义务。合同签订后，货物到场并检验合格预付 ，达到付款条件起30个工作日内，支付合同总金额的30.0%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进度款，项目安装调试完成，并通过验收后，达到付款条件起30个工作日内，支付合同总金额的65.0%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进度款，考核合格后，达到付款条件起30个工作日内，支付合同总金额的5.0%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达到竞争性谈判文件及国家规定的“合格”标准。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1、本项目为折扣报价，各投标单位在系统中应按照折扣进行报价并提供分项报价。 2、温馨提示：因项目存档使用，参与投标的供应商须在开标后2个工作日之内递交纸质版响应文件（一正两副），（联系人：张工；联系电话：029-85578186-834；地址：西安市雁塔区朱雀大街南段69号长丰园三区5号楼9层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产品技术参数表 中小企业声明函 残疾人福利性单位声明函 商务应答表 标的清单 报价表 供应商提供的相关资格证明材料.docx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产品技术参数表 中小企业声明函 残疾人福利性单位声明函 商务应答表 标的清单 报价表 供应商提供的相关资格证明材料.docx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法定代表人授权书（附法定代表人身份证复印件）及被授权人身份证复印件（法定代表人直接参加招标只需提供法定代表人身份证复印件加盖公章）。并进行电子签章。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和2025年度经审计的完整的财务审计报告(成立时间至提交投标文件截止时间不足一年的可提供成立后任意时段的资产负债表)和健全的财务制度，或开标前半年内其基本存款账户开户银行出具的资信证明。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提供2025年6月至今已缴纳的连续三个月的纳税证明或完税证明，依法免税的单位应提供相关证明材料。并进行电子签章。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社保缴纳情况</w:t>
            </w:r>
          </w:p>
        </w:tc>
        <w:tc>
          <w:tcPr>
            <w:tcW w:type="dxa" w:w="3322"/>
          </w:tcPr>
          <w:p>
            <w:pPr>
              <w:pStyle w:val="null3"/>
            </w:pPr>
            <w:r>
              <w:rPr>
                <w:rFonts w:ascii="仿宋_GB2312" w:hAnsi="仿宋_GB2312" w:cs="仿宋_GB2312" w:eastAsia="仿宋_GB2312"/>
              </w:rPr>
              <w:t>提供2025年6月至今已缴存的连续三个月的社会保障资金缴存单据或社保机构开具的社会保险参保缴费情况证明，依法不需要缴纳社会保障资金的单位应提供相关证明材料。并进行电子签章。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参加本次采购活动前三年内，在政府采购活动中没有重大违法记录声明。并进行电子签章。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供应商未被信用中国网站列入失信被执行人和重大税收违法案件名单；未被列入“中国政府采购网”政府采购严重违法失信行为记录名单。并进行电子签章。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单位负责人为同一人或者存在直接控股、管理关系的不同单位，不得参加同一合同项下的政府采购活动。并进行电子签章。</w:t>
            </w:r>
          </w:p>
        </w:tc>
        <w:tc>
          <w:tcPr>
            <w:tcW w:type="dxa" w:w="1661"/>
          </w:tcPr>
          <w:p>
            <w:pPr>
              <w:pStyle w:val="null3"/>
            </w:pPr>
            <w:r>
              <w:rPr>
                <w:rFonts w:ascii="仿宋_GB2312" w:hAnsi="仿宋_GB2312" w:cs="仿宋_GB2312" w:eastAsia="仿宋_GB2312"/>
              </w:rPr>
              <w:t>供应商提供的相关资格证明材料.docx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本项目不接受联合体投标。并进行电子签章。</w:t>
            </w:r>
          </w:p>
        </w:tc>
        <w:tc>
          <w:tcPr>
            <w:tcW w:type="dxa" w:w="1661"/>
          </w:tcPr>
          <w:p>
            <w:pPr>
              <w:pStyle w:val="null3"/>
            </w:pPr>
            <w:r>
              <w:rPr>
                <w:rFonts w:ascii="仿宋_GB2312" w:hAnsi="仿宋_GB2312" w:cs="仿宋_GB2312" w:eastAsia="仿宋_GB2312"/>
              </w:rPr>
              <w:t>供应商提供的相关资格证明材料.docx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产品技术参数表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响应文件未按照谈判文件规定要求签署、盖章的；</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供应商提供的相关资格证明材料.docx 分项报价.docx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实质性条款要求</w:t>
            </w:r>
          </w:p>
        </w:tc>
        <w:tc>
          <w:tcPr>
            <w:tcW w:type="dxa" w:w="3322"/>
          </w:tcPr>
          <w:p>
            <w:pPr>
              <w:pStyle w:val="null3"/>
            </w:pPr>
            <w:r>
              <w:rPr>
                <w:rFonts w:ascii="仿宋_GB2312" w:hAnsi="仿宋_GB2312" w:cs="仿宋_GB2312" w:eastAsia="仿宋_GB2312"/>
              </w:rPr>
              <w:t>不满足本谈判文件中“交货时间、交货地点、采购资金的支付方式及约定、质量保修范围和保修期”的实质性条款要求的；</w:t>
            </w:r>
          </w:p>
        </w:tc>
        <w:tc>
          <w:tcPr>
            <w:tcW w:type="dxa" w:w="1661"/>
          </w:tcPr>
          <w:p>
            <w:pPr>
              <w:pStyle w:val="null3"/>
            </w:pPr>
            <w:r>
              <w:rPr>
                <w:rFonts w:ascii="仿宋_GB2312" w:hAnsi="仿宋_GB2312" w:cs="仿宋_GB2312" w:eastAsia="仿宋_GB2312"/>
              </w:rPr>
              <w:t>响应文件封面 产品技术参数表 商务应答表 标的清单 分项报价.docx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响应有效期不足的或无有效期的；</w:t>
            </w:r>
          </w:p>
        </w:tc>
        <w:tc>
          <w:tcPr>
            <w:tcW w:type="dxa" w:w="1661"/>
          </w:tcPr>
          <w:p>
            <w:pPr>
              <w:pStyle w:val="null3"/>
            </w:pPr>
            <w:r>
              <w:rPr>
                <w:rFonts w:ascii="仿宋_GB2312" w:hAnsi="仿宋_GB2312" w:cs="仿宋_GB2312" w:eastAsia="仿宋_GB2312"/>
              </w:rPr>
              <w:t>响应文件封面 产品技术参数表 商务应答表 供应商提供的相关资格证明材料.docx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报价超过谈判文件中规定的采购预算或最高限价的；</w:t>
            </w:r>
          </w:p>
        </w:tc>
        <w:tc>
          <w:tcPr>
            <w:tcW w:type="dxa" w:w="1661"/>
          </w:tcPr>
          <w:p>
            <w:pPr>
              <w:pStyle w:val="null3"/>
            </w:pPr>
            <w:r>
              <w:rPr>
                <w:rFonts w:ascii="仿宋_GB2312" w:hAnsi="仿宋_GB2312" w:cs="仿宋_GB2312" w:eastAsia="仿宋_GB2312"/>
              </w:rPr>
              <w:t>响应文件封面 产品技术参数表 商务应答表 标的清单 报价表 分项报价.docx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法律、法规和谈判文件规定的其他无效情形。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报价表 供应商提供的相关资格证明材料.docx 分项报价.docx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详见附件：供应商提供的相关资格证明材料.docx</w:t>
      </w:r>
    </w:p>
    <w:p>
      <w:pPr>
        <w:pStyle w:val="null3"/>
        <w:ind w:firstLine="960"/>
      </w:pPr>
      <w:r>
        <w:rPr>
          <w:rFonts w:ascii="仿宋_GB2312" w:hAnsi="仿宋_GB2312" w:cs="仿宋_GB2312" w:eastAsia="仿宋_GB2312"/>
        </w:rPr>
        <w:t>详见附件：分项报价.docx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