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C402E">
      <w:pPr>
        <w:pStyle w:val="10"/>
        <w:jc w:val="center"/>
        <w:outlineLvl w:val="1"/>
      </w:pPr>
      <w:r>
        <w:rPr>
          <w:rFonts w:ascii="仿宋_GB2312" w:hAnsi="仿宋_GB2312" w:eastAsia="仿宋_GB2312" w:cs="仿宋_GB2312"/>
          <w:b/>
          <w:sz w:val="36"/>
        </w:rPr>
        <w:t>拟签订采购合同文本</w:t>
      </w:r>
    </w:p>
    <w:p w14:paraId="1264D418">
      <w:pPr>
        <w:ind w:right="-483" w:rightChars="-230"/>
        <w:rPr>
          <w:rFonts w:hint="default" w:eastAsia="宋体"/>
          <w:sz w:val="30"/>
          <w:szCs w:val="30"/>
          <w:lang w:val="en-US" w:eastAsia="zh-CN"/>
        </w:rPr>
      </w:pPr>
    </w:p>
    <w:tbl>
      <w:tblPr>
        <w:tblStyle w:val="7"/>
        <w:tblpPr w:leftFromText="180" w:rightFromText="180" w:vertAnchor="page" w:horzAnchor="page" w:tblpX="7890" w:tblpY="247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5"/>
      </w:tblGrid>
      <w:tr w14:paraId="06E74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2295" w:type="dxa"/>
            <w:noWrap w:val="0"/>
            <w:vAlign w:val="top"/>
          </w:tcPr>
          <w:p w14:paraId="5DD44EBC">
            <w:pPr>
              <w:tabs>
                <w:tab w:val="center" w:pos="1099"/>
                <w:tab w:val="right" w:pos="2079"/>
              </w:tabs>
              <w:jc w:val="left"/>
              <w:rPr>
                <w:rFonts w:hint="eastAsia" w:eastAsia="宋体"/>
                <w:sz w:val="30"/>
                <w:szCs w:val="30"/>
                <w:lang w:eastAsia="zh-CN"/>
              </w:rPr>
            </w:pPr>
            <w:r>
              <w:rPr>
                <w:rFonts w:hint="eastAsia"/>
                <w:sz w:val="30"/>
                <w:szCs w:val="30"/>
                <w:lang w:val="en-US" w:eastAsia="zh-CN"/>
              </w:rPr>
              <w:tab/>
            </w:r>
            <w:r>
              <w:rPr>
                <w:rFonts w:hint="eastAsia"/>
                <w:sz w:val="30"/>
                <w:szCs w:val="30"/>
                <w:lang w:val="en-US" w:eastAsia="zh-CN"/>
              </w:rPr>
              <w:t>竞争性谈判</w:t>
            </w:r>
          </w:p>
        </w:tc>
      </w:tr>
    </w:tbl>
    <w:p w14:paraId="6A5E965D">
      <w:pPr>
        <w:ind w:right="-483" w:rightChars="-230"/>
        <w:rPr>
          <w:sz w:val="30"/>
          <w:szCs w:val="30"/>
        </w:rPr>
      </w:pPr>
      <w:r>
        <w:rPr>
          <w:rFonts w:hint="eastAsia"/>
          <w:sz w:val="30"/>
          <w:szCs w:val="30"/>
        </w:rPr>
        <w:t>政府采购项目</w:t>
      </w:r>
    </w:p>
    <w:p w14:paraId="70437EB7">
      <w:pPr>
        <w:rPr>
          <w:sz w:val="48"/>
          <w:szCs w:val="48"/>
        </w:rPr>
      </w:pPr>
    </w:p>
    <w:p w14:paraId="728CD5E4">
      <w:pPr>
        <w:jc w:val="center"/>
        <w:rPr>
          <w:rFonts w:ascii="宋体" w:hAnsi="宋体" w:cs="宋体"/>
          <w:sz w:val="48"/>
          <w:szCs w:val="48"/>
        </w:rPr>
      </w:pPr>
    </w:p>
    <w:p w14:paraId="3003C637">
      <w:pPr>
        <w:jc w:val="center"/>
        <w:rPr>
          <w:rFonts w:ascii="宋体" w:hAnsi="宋体" w:cs="宋体"/>
          <w:sz w:val="48"/>
          <w:szCs w:val="48"/>
        </w:rPr>
      </w:pPr>
      <w:r>
        <w:rPr>
          <w:rFonts w:hint="eastAsia" w:ascii="宋体" w:hAnsi="宋体" w:cs="宋体"/>
          <w:sz w:val="48"/>
          <w:szCs w:val="48"/>
        </w:rPr>
        <w:t>西安市儿童医院</w:t>
      </w:r>
    </w:p>
    <w:p w14:paraId="6D35A4D9">
      <w:pPr>
        <w:spacing w:line="240" w:lineRule="auto"/>
        <w:jc w:val="center"/>
        <w:rPr>
          <w:rFonts w:ascii="宋体" w:hAnsi="宋体" w:cs="宋体"/>
          <w:b/>
          <w:sz w:val="48"/>
          <w:szCs w:val="48"/>
        </w:rPr>
      </w:pPr>
      <w:r>
        <w:rPr>
          <w:rFonts w:hint="eastAsia" w:ascii="宋体" w:hAnsi="宋体" w:cs="宋体"/>
          <w:b/>
          <w:sz w:val="48"/>
          <w:szCs w:val="48"/>
          <w:lang w:val="en-US" w:eastAsia="zh-CN"/>
        </w:rPr>
        <w:t>xxx</w:t>
      </w:r>
      <w:r>
        <w:rPr>
          <w:rFonts w:ascii="宋体" w:hAnsi="宋体" w:cs="宋体"/>
          <w:b/>
          <w:sz w:val="48"/>
          <w:szCs w:val="48"/>
        </w:rPr>
        <w:t>项目</w:t>
      </w:r>
    </w:p>
    <w:p w14:paraId="385F898C">
      <w:pPr>
        <w:spacing w:line="240" w:lineRule="auto"/>
        <w:jc w:val="center"/>
        <w:rPr>
          <w:rFonts w:ascii="宋体" w:hAnsi="宋体" w:cs="宋体"/>
          <w:sz w:val="30"/>
          <w:szCs w:val="30"/>
        </w:rPr>
      </w:pPr>
      <w:r>
        <w:rPr>
          <w:rFonts w:hint="default" w:ascii="宋体" w:hAnsi="宋体" w:eastAsia="宋体" w:cs="宋体"/>
          <w:b/>
          <w:sz w:val="48"/>
          <w:szCs w:val="48"/>
          <w:lang w:val="en-US" w:eastAsia="zh-CN"/>
        </w:rPr>
        <w:t>货</w:t>
      </w:r>
      <w:r>
        <w:rPr>
          <w:rFonts w:hint="eastAsia" w:ascii="宋体" w:hAnsi="宋体" w:cs="宋体"/>
          <w:b/>
          <w:sz w:val="48"/>
          <w:szCs w:val="48"/>
          <w:lang w:val="en-US" w:eastAsia="zh-CN"/>
        </w:rPr>
        <w:t xml:space="preserve"> </w:t>
      </w:r>
      <w:r>
        <w:rPr>
          <w:rFonts w:hint="default" w:ascii="宋体" w:hAnsi="宋体" w:eastAsia="宋体" w:cs="宋体"/>
          <w:b/>
          <w:sz w:val="48"/>
          <w:szCs w:val="48"/>
          <w:lang w:val="en-US" w:eastAsia="zh-CN"/>
        </w:rPr>
        <w:t>物</w:t>
      </w:r>
      <w:r>
        <w:rPr>
          <w:rFonts w:hint="eastAsia" w:ascii="宋体" w:hAnsi="宋体" w:cs="宋体"/>
          <w:b/>
          <w:sz w:val="48"/>
          <w:szCs w:val="48"/>
          <w:lang w:val="en-US" w:eastAsia="zh-CN"/>
        </w:rPr>
        <w:t xml:space="preserve"> </w:t>
      </w:r>
      <w:r>
        <w:rPr>
          <w:rFonts w:hint="eastAsia" w:ascii="宋体" w:hAnsi="宋体" w:cs="宋体"/>
          <w:b/>
          <w:sz w:val="48"/>
          <w:szCs w:val="48"/>
        </w:rPr>
        <w:t>合</w:t>
      </w:r>
      <w:r>
        <w:rPr>
          <w:rFonts w:hint="eastAsia" w:ascii="宋体" w:hAnsi="宋体" w:cs="宋体"/>
          <w:b/>
          <w:sz w:val="48"/>
          <w:szCs w:val="48"/>
          <w:lang w:val="en-US" w:eastAsia="zh-CN"/>
        </w:rPr>
        <w:t xml:space="preserve"> </w:t>
      </w:r>
      <w:r>
        <w:rPr>
          <w:rFonts w:hint="eastAsia" w:ascii="宋体" w:hAnsi="宋体" w:cs="宋体"/>
          <w:b/>
          <w:sz w:val="48"/>
          <w:szCs w:val="48"/>
        </w:rPr>
        <w:t>同</w:t>
      </w:r>
    </w:p>
    <w:p w14:paraId="4C47DDFD">
      <w:pPr>
        <w:ind w:firstLine="1440" w:firstLineChars="300"/>
        <w:jc w:val="left"/>
        <w:rPr>
          <w:sz w:val="48"/>
          <w:szCs w:val="48"/>
        </w:rPr>
      </w:pPr>
    </w:p>
    <w:p w14:paraId="0F66B178">
      <w:pPr>
        <w:ind w:firstLine="3150" w:firstLineChars="1050"/>
        <w:rPr>
          <w:sz w:val="30"/>
          <w:szCs w:val="30"/>
        </w:rPr>
      </w:pPr>
    </w:p>
    <w:p w14:paraId="740DBB3E">
      <w:pPr>
        <w:ind w:firstLine="3150" w:firstLineChars="1050"/>
        <w:rPr>
          <w:sz w:val="30"/>
          <w:szCs w:val="30"/>
        </w:rPr>
      </w:pPr>
    </w:p>
    <w:p w14:paraId="1E7568A7">
      <w:pPr>
        <w:ind w:firstLine="3150" w:firstLineChars="1050"/>
        <w:rPr>
          <w:sz w:val="30"/>
          <w:szCs w:val="30"/>
        </w:rPr>
      </w:pPr>
    </w:p>
    <w:p w14:paraId="2158E100">
      <w:pPr>
        <w:ind w:firstLine="3150" w:firstLineChars="1050"/>
        <w:rPr>
          <w:sz w:val="30"/>
          <w:szCs w:val="30"/>
        </w:rPr>
      </w:pPr>
    </w:p>
    <w:p w14:paraId="4AB48A20">
      <w:pPr>
        <w:rPr>
          <w:color w:val="000000"/>
          <w:sz w:val="30"/>
          <w:szCs w:val="30"/>
        </w:rPr>
      </w:pPr>
    </w:p>
    <w:p w14:paraId="583E51E1">
      <w:pPr>
        <w:spacing w:line="276" w:lineRule="auto"/>
        <w:ind w:firstLine="0" w:firstLineChars="0"/>
        <w:jc w:val="left"/>
        <w:rPr>
          <w:rFonts w:ascii="宋体" w:hAnsi="宋体" w:cs="宋体"/>
          <w:sz w:val="30"/>
          <w:szCs w:val="30"/>
        </w:rPr>
      </w:pPr>
    </w:p>
    <w:p w14:paraId="22B97E24">
      <w:pPr>
        <w:spacing w:line="276" w:lineRule="auto"/>
        <w:ind w:firstLine="600" w:firstLineChars="200"/>
        <w:jc w:val="left"/>
        <w:rPr>
          <w:rFonts w:ascii="宋体" w:hAnsi="宋体" w:cs="宋体"/>
          <w:sz w:val="30"/>
          <w:szCs w:val="30"/>
        </w:rPr>
      </w:pPr>
      <w:r>
        <w:rPr>
          <w:rFonts w:hint="eastAsia" w:ascii="宋体" w:hAnsi="宋体" w:cs="宋体"/>
          <w:sz w:val="30"/>
          <w:szCs w:val="30"/>
        </w:rPr>
        <w:t>甲 方:</w:t>
      </w:r>
      <w:r>
        <w:rPr>
          <w:rFonts w:hint="eastAsia" w:ascii="宋体" w:hAnsi="宋体" w:cs="宋体"/>
          <w:sz w:val="30"/>
          <w:szCs w:val="30"/>
          <w:u w:val="single"/>
        </w:rPr>
        <w:t>西安市儿童医院</w:t>
      </w:r>
    </w:p>
    <w:p w14:paraId="0614CFA7">
      <w:pPr>
        <w:spacing w:line="276" w:lineRule="auto"/>
        <w:ind w:firstLine="600" w:firstLineChars="200"/>
        <w:jc w:val="left"/>
        <w:rPr>
          <w:rFonts w:hint="eastAsia" w:ascii="宋体" w:hAnsi="宋体" w:cs="宋体"/>
          <w:sz w:val="30"/>
          <w:szCs w:val="30"/>
        </w:rPr>
      </w:pPr>
      <w:r>
        <w:rPr>
          <w:rFonts w:hint="eastAsia" w:ascii="宋体" w:hAnsi="宋体" w:cs="宋体"/>
          <w:sz w:val="30"/>
          <w:szCs w:val="30"/>
        </w:rPr>
        <w:t>乙 方:</w:t>
      </w:r>
    </w:p>
    <w:p w14:paraId="025207DE">
      <w:pPr>
        <w:spacing w:line="276" w:lineRule="auto"/>
        <w:ind w:firstLine="600" w:firstLineChars="200"/>
        <w:jc w:val="left"/>
        <w:rPr>
          <w:rFonts w:ascii="宋体" w:hAnsi="宋体" w:cs="宋体"/>
          <w:sz w:val="30"/>
          <w:szCs w:val="30"/>
        </w:rPr>
      </w:pPr>
      <w:r>
        <w:rPr>
          <w:rFonts w:hint="eastAsia" w:ascii="宋体" w:hAnsi="宋体" w:cs="宋体"/>
          <w:sz w:val="30"/>
          <w:szCs w:val="30"/>
        </w:rPr>
        <w:t>签订地点：</w:t>
      </w:r>
      <w:r>
        <w:rPr>
          <w:rFonts w:hint="eastAsia" w:ascii="宋体" w:hAnsi="宋体" w:cs="宋体"/>
          <w:sz w:val="30"/>
          <w:szCs w:val="30"/>
          <w:u w:val="single"/>
        </w:rPr>
        <w:t>西安市儿童医院</w:t>
      </w:r>
    </w:p>
    <w:p w14:paraId="68281FD5">
      <w:pPr>
        <w:spacing w:line="276" w:lineRule="auto"/>
        <w:ind w:firstLine="600" w:firstLineChars="200"/>
        <w:jc w:val="left"/>
        <w:rPr>
          <w:rFonts w:ascii="宋体" w:hAnsi="宋体" w:cs="宋体"/>
          <w:b/>
          <w:sz w:val="30"/>
          <w:szCs w:val="30"/>
          <w:u w:val="single"/>
        </w:rPr>
      </w:pPr>
      <w:r>
        <w:rPr>
          <w:rFonts w:hint="eastAsia" w:ascii="宋体" w:hAnsi="宋体" w:cs="宋体"/>
          <w:sz w:val="30"/>
          <w:szCs w:val="30"/>
        </w:rPr>
        <w:t>签订时间：</w:t>
      </w:r>
      <w:r>
        <w:rPr>
          <w:rFonts w:hint="eastAsia" w:ascii="宋体" w:hAnsi="宋体" w:cs="宋体"/>
          <w:sz w:val="30"/>
          <w:szCs w:val="30"/>
          <w:u w:val="single"/>
        </w:rPr>
        <w:t>202</w:t>
      </w:r>
      <w:r>
        <w:rPr>
          <w:rFonts w:hint="eastAsia" w:ascii="宋体" w:hAnsi="宋体" w:cs="宋体"/>
          <w:sz w:val="30"/>
          <w:szCs w:val="30"/>
          <w:u w:val="single"/>
          <w:lang w:val="en-US" w:eastAsia="zh-CN"/>
        </w:rPr>
        <w:t>6</w:t>
      </w:r>
      <w:r>
        <w:rPr>
          <w:rFonts w:hint="eastAsia" w:ascii="宋体" w:hAnsi="宋体" w:cs="宋体"/>
          <w:sz w:val="30"/>
          <w:szCs w:val="30"/>
        </w:rPr>
        <w:t>年</w:t>
      </w:r>
      <w:r>
        <w:rPr>
          <w:rFonts w:hint="eastAsia" w:ascii="宋体" w:hAnsi="宋体" w:cs="宋体"/>
          <w:sz w:val="30"/>
          <w:szCs w:val="30"/>
          <w:lang w:val="en-US" w:eastAsia="zh-CN"/>
        </w:rPr>
        <w:t xml:space="preserve">  </w:t>
      </w:r>
      <w:r>
        <w:rPr>
          <w:rFonts w:hint="eastAsia" w:ascii="宋体" w:hAnsi="宋体" w:cs="宋体"/>
          <w:sz w:val="30"/>
          <w:szCs w:val="30"/>
        </w:rPr>
        <w:t>月</w:t>
      </w:r>
    </w:p>
    <w:p w14:paraId="151176A7">
      <w:pPr>
        <w:spacing w:line="276" w:lineRule="auto"/>
        <w:jc w:val="center"/>
        <w:rPr>
          <w:rFonts w:ascii="仿宋" w:hAnsi="仿宋" w:eastAsia="仿宋" w:cs="仿宋"/>
          <w:b/>
          <w:sz w:val="36"/>
          <w:szCs w:val="36"/>
        </w:rPr>
        <w:sectPr>
          <w:headerReference r:id="rId5" w:type="first"/>
          <w:footerReference r:id="rId8" w:type="first"/>
          <w:headerReference r:id="rId3" w:type="default"/>
          <w:footerReference r:id="rId6" w:type="default"/>
          <w:headerReference r:id="rId4" w:type="even"/>
          <w:footerReference r:id="rId7" w:type="even"/>
          <w:pgSz w:w="11906" w:h="16838"/>
          <w:pgMar w:top="1440" w:right="1418" w:bottom="1440" w:left="1418" w:header="851" w:footer="992" w:gutter="0"/>
          <w:pgNumType w:start="0"/>
          <w:cols w:space="720" w:num="1"/>
          <w:titlePg/>
          <w:docGrid w:type="lines" w:linePitch="498" w:charSpace="0"/>
        </w:sectPr>
      </w:pPr>
    </w:p>
    <w:p w14:paraId="39442481">
      <w:pPr>
        <w:spacing w:line="560" w:lineRule="exact"/>
        <w:ind w:firstLine="562" w:firstLineChars="200"/>
        <w:jc w:val="center"/>
        <w:rPr>
          <w:rFonts w:hint="eastAsia" w:ascii="方正仿宋_GB2312" w:hAnsi="方正仿宋_GB2312" w:eastAsia="方正仿宋_GB2312" w:cs="方正仿宋_GB2312"/>
          <w:b/>
          <w:bCs/>
          <w:sz w:val="28"/>
          <w:szCs w:val="28"/>
          <w:u w:val="none"/>
        </w:rPr>
      </w:pPr>
      <w:r>
        <w:rPr>
          <w:rFonts w:hint="eastAsia" w:ascii="方正仿宋_GB2312" w:hAnsi="方正仿宋_GB2312" w:eastAsia="方正仿宋_GB2312" w:cs="方正仿宋_GB2312"/>
          <w:b/>
          <w:bCs/>
          <w:sz w:val="28"/>
          <w:szCs w:val="28"/>
          <w:u w:val="none"/>
        </w:rPr>
        <w:t>货 物 合 同</w:t>
      </w:r>
    </w:p>
    <w:p w14:paraId="76E2931A">
      <w:pPr>
        <w:spacing w:line="560" w:lineRule="exact"/>
        <w:ind w:firstLine="560" w:firstLineChars="200"/>
        <w:rPr>
          <w:rFonts w:hint="eastAsia" w:ascii="仿宋_GB2312" w:hAnsi="仿宋_GB2312" w:eastAsia="仿宋_GB2312" w:cs="仿宋_GB2312"/>
          <w:sz w:val="28"/>
          <w:szCs w:val="28"/>
          <w:u w:val="none"/>
        </w:rPr>
      </w:pPr>
      <w:r>
        <w:rPr>
          <w:rFonts w:hint="eastAsia" w:ascii="仿宋_GB2312" w:hAnsi="仿宋_GB2312" w:eastAsia="仿宋_GB2312" w:cs="仿宋_GB2312"/>
          <w:sz w:val="28"/>
          <w:szCs w:val="28"/>
        </w:rPr>
        <w:t>甲</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方：</w:t>
      </w:r>
      <w:r>
        <w:rPr>
          <w:rFonts w:hint="eastAsia" w:ascii="仿宋_GB2312" w:hAnsi="仿宋_GB2312" w:eastAsia="仿宋_GB2312" w:cs="仿宋_GB2312"/>
          <w:sz w:val="28"/>
          <w:szCs w:val="28"/>
          <w:u w:val="none"/>
        </w:rPr>
        <w:t>西安市儿童医院</w:t>
      </w:r>
    </w:p>
    <w:p w14:paraId="28992406">
      <w:pPr>
        <w:shd w:val="clear"/>
        <w:adjustRightInd/>
        <w:snapToGrid/>
        <w:spacing w:line="560" w:lineRule="exact"/>
        <w:ind w:firstLine="560" w:firstLineChars="200"/>
        <w:textAlignment w:val="auto"/>
        <w:rPr>
          <w:rFonts w:hint="eastAsia" w:ascii="仿宋_GB2312" w:hAnsi="仿宋_GB2312" w:eastAsia="仿宋_GB2312" w:cs="仿宋_GB2312"/>
          <w:spacing w:val="0"/>
          <w:kern w:val="2"/>
          <w:sz w:val="28"/>
          <w:szCs w:val="28"/>
        </w:rPr>
      </w:pPr>
      <w:r>
        <w:rPr>
          <w:rFonts w:hint="eastAsia" w:ascii="仿宋_GB2312" w:hAnsi="仿宋_GB2312" w:eastAsia="仿宋_GB2312" w:cs="仿宋_GB2312"/>
          <w:sz w:val="28"/>
          <w:szCs w:val="28"/>
        </w:rPr>
        <w:t>地</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址：</w:t>
      </w:r>
      <w:r>
        <w:rPr>
          <w:rFonts w:hint="eastAsia" w:ascii="方正仿宋_GB2312" w:hAnsi="方正仿宋_GB2312" w:eastAsia="方正仿宋_GB2312" w:cs="方正仿宋_GB2312"/>
          <w:i w:val="0"/>
          <w:iCs w:val="0"/>
          <w:sz w:val="28"/>
          <w:szCs w:val="28"/>
          <w:u w:val="none"/>
          <w:lang w:val="en-US" w:eastAsia="zh-CN"/>
        </w:rPr>
        <w:t>西安市莲湖区西举院巷69号</w:t>
      </w:r>
    </w:p>
    <w:p w14:paraId="1675EBC7">
      <w:pPr>
        <w:shd w:val="clear"/>
        <w:spacing w:line="560" w:lineRule="exact"/>
        <w:ind w:firstLine="560" w:firstLineChars="200"/>
        <w:rPr>
          <w:rFonts w:hint="eastAsia" w:ascii="仿宋_GB2312" w:hAnsi="仿宋_GB2312" w:eastAsia="仿宋_GB2312" w:cs="仿宋_GB2312"/>
          <w:i w:val="0"/>
          <w:iCs w:val="0"/>
          <w:sz w:val="28"/>
          <w:szCs w:val="28"/>
          <w:u w:val="none"/>
          <w:lang w:val="en-US" w:eastAsia="zh-CN"/>
        </w:rPr>
      </w:pPr>
      <w:r>
        <w:rPr>
          <w:rFonts w:hint="eastAsia" w:ascii="仿宋_GB2312" w:hAnsi="仿宋_GB2312" w:eastAsia="仿宋_GB2312" w:cs="仿宋_GB2312"/>
          <w:i w:val="0"/>
          <w:iCs w:val="0"/>
          <w:sz w:val="28"/>
          <w:szCs w:val="28"/>
          <w:u w:val="none"/>
        </w:rPr>
        <w:t>联系人：</w:t>
      </w:r>
      <w:r>
        <w:rPr>
          <w:rFonts w:hint="eastAsia" w:ascii="仿宋_GB2312" w:hAnsi="仿宋_GB2312" w:eastAsia="仿宋_GB2312" w:cs="仿宋_GB2312"/>
          <w:i w:val="0"/>
          <w:iCs w:val="0"/>
          <w:sz w:val="28"/>
          <w:szCs w:val="28"/>
          <w:u w:val="none"/>
          <w:lang w:val="en-US" w:eastAsia="zh-CN"/>
        </w:rPr>
        <w:t>张广烜    电话</w:t>
      </w:r>
      <w:r>
        <w:rPr>
          <w:rFonts w:hint="eastAsia" w:ascii="仿宋_GB2312" w:hAnsi="仿宋_GB2312" w:eastAsia="仿宋_GB2312" w:cs="仿宋_GB2312"/>
          <w:i w:val="0"/>
          <w:iCs w:val="0"/>
          <w:sz w:val="28"/>
          <w:szCs w:val="28"/>
          <w:u w:val="none"/>
        </w:rPr>
        <w:t>：</w:t>
      </w:r>
      <w:r>
        <w:rPr>
          <w:rFonts w:hint="eastAsia" w:ascii="仿宋_GB2312" w:hAnsi="仿宋_GB2312" w:eastAsia="仿宋_GB2312" w:cs="仿宋_GB2312"/>
          <w:i w:val="0"/>
          <w:iCs w:val="0"/>
          <w:sz w:val="28"/>
          <w:szCs w:val="28"/>
          <w:u w:val="none"/>
          <w:lang w:eastAsia="zh-CN"/>
        </w:rPr>
        <w:t>1</w:t>
      </w:r>
      <w:r>
        <w:rPr>
          <w:rFonts w:hint="eastAsia" w:ascii="仿宋_GB2312" w:hAnsi="仿宋_GB2312" w:eastAsia="仿宋_GB2312" w:cs="仿宋_GB2312"/>
          <w:i w:val="0"/>
          <w:iCs w:val="0"/>
          <w:sz w:val="28"/>
          <w:szCs w:val="28"/>
          <w:u w:val="none"/>
          <w:lang w:val="en-US" w:eastAsia="zh-CN"/>
        </w:rPr>
        <w:t>8991236783</w:t>
      </w:r>
    </w:p>
    <w:p w14:paraId="0970A125">
      <w:pPr>
        <w:pStyle w:val="4"/>
        <w:rPr>
          <w:rFonts w:hint="default"/>
        </w:rPr>
      </w:pPr>
    </w:p>
    <w:p w14:paraId="1E6BB132">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方：</w:t>
      </w:r>
    </w:p>
    <w:p w14:paraId="1BAB6990">
      <w:pPr>
        <w:shd w:val="clear"/>
        <w:adjustRightInd/>
        <w:snapToGrid/>
        <w:spacing w:line="560" w:lineRule="exact"/>
        <w:ind w:firstLine="560" w:firstLineChars="200"/>
        <w:textAlignment w:val="auto"/>
        <w:rPr>
          <w:rFonts w:hint="eastAsia" w:ascii="仿宋_GB2312" w:hAnsi="仿宋_GB2312" w:eastAsia="仿宋_GB2312" w:cs="仿宋_GB2312"/>
          <w:spacing w:val="0"/>
          <w:kern w:val="2"/>
          <w:sz w:val="28"/>
          <w:szCs w:val="28"/>
        </w:rPr>
      </w:pPr>
      <w:r>
        <w:rPr>
          <w:rFonts w:hint="eastAsia" w:ascii="仿宋_GB2312" w:hAnsi="仿宋_GB2312" w:eastAsia="仿宋_GB2312" w:cs="仿宋_GB2312"/>
          <w:sz w:val="28"/>
          <w:szCs w:val="28"/>
        </w:rPr>
        <w:t>地</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址：</w:t>
      </w:r>
    </w:p>
    <w:p w14:paraId="65E4157E">
      <w:pPr>
        <w:shd w:val="clea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联系人：          电话：</w:t>
      </w:r>
    </w:p>
    <w:p w14:paraId="0D079313">
      <w:pPr>
        <w:pStyle w:val="4"/>
        <w:rPr>
          <w:rFonts w:hint="eastAsia"/>
        </w:rPr>
      </w:pPr>
    </w:p>
    <w:p w14:paraId="52A8280A">
      <w:pPr>
        <w:pStyle w:val="4"/>
        <w:rPr>
          <w:rFonts w:hint="eastAsia"/>
        </w:rPr>
      </w:pPr>
    </w:p>
    <w:p w14:paraId="7E1C552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依据《中华人民共和国政府采购法》、《中华人民共和国民法典》，</w:t>
      </w:r>
      <w:r>
        <w:rPr>
          <w:rFonts w:hint="eastAsia" w:ascii="仿宋_GB2312" w:hAnsi="仿宋_GB2312" w:eastAsia="仿宋_GB2312" w:cs="仿宋_GB2312"/>
          <w:spacing w:val="0"/>
          <w:sz w:val="28"/>
          <w:szCs w:val="28"/>
          <w:u w:val="none"/>
        </w:rPr>
        <w:t>西</w:t>
      </w:r>
      <w:r>
        <w:rPr>
          <w:rFonts w:hint="eastAsia" w:ascii="仿宋_GB2312" w:hAnsi="仿宋_GB2312" w:eastAsia="仿宋_GB2312" w:cs="仿宋_GB2312"/>
          <w:sz w:val="28"/>
          <w:szCs w:val="28"/>
        </w:rPr>
        <w:t>安市儿童医院</w:t>
      </w:r>
      <w:r>
        <w:rPr>
          <w:rFonts w:hint="eastAsia" w:ascii="仿宋_GB2312" w:hAnsi="仿宋_GB2312" w:eastAsia="仿宋_GB2312" w:cs="仿宋_GB2312"/>
          <w:sz w:val="28"/>
          <w:szCs w:val="28"/>
          <w:lang w:val="en-US" w:eastAsia="zh-CN"/>
        </w:rPr>
        <w:t>xxx</w:t>
      </w:r>
      <w:r>
        <w:rPr>
          <w:rFonts w:hint="eastAsia" w:ascii="仿宋_GB2312" w:hAnsi="仿宋_GB2312" w:eastAsia="仿宋_GB2312" w:cs="仿宋_GB2312"/>
          <w:sz w:val="28"/>
          <w:szCs w:val="28"/>
        </w:rPr>
        <w:t>项目(项目编号：</w:t>
      </w:r>
      <w:r>
        <w:rPr>
          <w:rFonts w:hint="eastAsia" w:ascii="仿宋_GB2312" w:hAnsi="仿宋_GB2312" w:eastAsia="仿宋_GB2312" w:cs="仿宋_GB2312"/>
          <w:sz w:val="28"/>
          <w:szCs w:val="28"/>
          <w:lang w:val="en-US" w:eastAsia="zh-CN"/>
        </w:rPr>
        <w:t>xxx</w:t>
      </w:r>
      <w:r>
        <w:rPr>
          <w:rFonts w:hint="eastAsia" w:ascii="仿宋_GB2312" w:hAnsi="仿宋_GB2312" w:eastAsia="仿宋_GB2312" w:cs="仿宋_GB2312"/>
          <w:sz w:val="28"/>
          <w:szCs w:val="28"/>
        </w:rPr>
        <w:t>)，在西安市财政局政府采购管理处的监督管理下，由</w:t>
      </w:r>
      <w:r>
        <w:rPr>
          <w:rFonts w:hint="eastAsia" w:ascii="仿宋_GB2312" w:hAnsi="仿宋_GB2312" w:eastAsia="仿宋_GB2312" w:cs="仿宋_GB2312"/>
          <w:sz w:val="28"/>
          <w:szCs w:val="28"/>
          <w:lang w:val="en-US" w:eastAsia="zh-CN"/>
        </w:rPr>
        <w:t>xxx</w:t>
      </w:r>
      <w:r>
        <w:rPr>
          <w:rFonts w:hint="eastAsia" w:ascii="仿宋_GB2312" w:hAnsi="仿宋_GB2312" w:eastAsia="仿宋_GB2312" w:cs="仿宋_GB2312"/>
          <w:sz w:val="28"/>
          <w:szCs w:val="28"/>
        </w:rPr>
        <w:t>组织竞争性</w:t>
      </w:r>
      <w:r>
        <w:rPr>
          <w:rFonts w:hint="eastAsia" w:ascii="仿宋_GB2312" w:hAnsi="仿宋_GB2312" w:eastAsia="仿宋_GB2312" w:cs="仿宋_GB2312"/>
          <w:sz w:val="28"/>
          <w:lang w:val="en-US" w:eastAsia="zh-CN"/>
        </w:rPr>
        <w:t>谈判</w:t>
      </w:r>
      <w:r>
        <w:rPr>
          <w:rFonts w:hint="eastAsia" w:ascii="仿宋_GB2312" w:hAnsi="仿宋_GB2312" w:eastAsia="仿宋_GB2312" w:cs="仿宋_GB2312"/>
          <w:sz w:val="28"/>
          <w:szCs w:val="28"/>
        </w:rPr>
        <w:t>。西安市儿童医院(以下简称“甲方”)确定</w:t>
      </w:r>
      <w:r>
        <w:rPr>
          <w:rFonts w:hint="eastAsia" w:ascii="仿宋_GB2312" w:hAnsi="仿宋_GB2312" w:eastAsia="仿宋_GB2312" w:cs="仿宋_GB2312"/>
          <w:sz w:val="28"/>
          <w:szCs w:val="28"/>
          <w:lang w:val="en-US" w:eastAsia="zh-CN"/>
        </w:rPr>
        <w:t>xxx</w:t>
      </w:r>
      <w:r>
        <w:rPr>
          <w:rFonts w:hint="eastAsia" w:ascii="仿宋_GB2312" w:hAnsi="仿宋_GB2312" w:eastAsia="仿宋_GB2312" w:cs="仿宋_GB2312"/>
          <w:sz w:val="28"/>
          <w:szCs w:val="28"/>
        </w:rPr>
        <w:t>（以下简称“乙方”）为成交供应商。甲、乙双方同意按照下面条款和条件，签署本合同。</w:t>
      </w:r>
    </w:p>
    <w:p w14:paraId="36EEDDB1">
      <w:pPr>
        <w:numPr>
          <w:ilvl w:val="-1"/>
          <w:numId w:val="0"/>
        </w:num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lang w:val="en-US" w:eastAsia="zh-CN"/>
        </w:rPr>
        <w:t>一、</w:t>
      </w:r>
      <w:r>
        <w:rPr>
          <w:rFonts w:hint="eastAsia" w:ascii="仿宋_GB2312" w:hAnsi="仿宋_GB2312" w:eastAsia="仿宋_GB2312" w:cs="仿宋_GB2312"/>
          <w:b/>
          <w:bCs/>
          <w:spacing w:val="0"/>
          <w:kern w:val="2"/>
          <w:sz w:val="28"/>
          <w:szCs w:val="28"/>
        </w:rPr>
        <w:t>合同标的物内容及数量</w:t>
      </w:r>
    </w:p>
    <w:p w14:paraId="5E059403">
      <w:pPr>
        <w:spacing w:line="276" w:lineRule="auto"/>
        <w:ind w:firstLine="482" w:firstLineChars="200"/>
        <w:jc w:val="right"/>
        <w:rPr>
          <w:rFonts w:ascii="仿宋" w:hAnsi="仿宋" w:eastAsia="仿宋" w:cs="仿宋"/>
          <w:b/>
          <w:sz w:val="28"/>
          <w:szCs w:val="28"/>
        </w:rPr>
      </w:pPr>
      <w:r>
        <w:rPr>
          <w:rFonts w:hint="eastAsia" w:ascii="宋体" w:hAnsi="宋体" w:cs="宋体"/>
          <w:b/>
          <w:sz w:val="24"/>
        </w:rPr>
        <w:t>货币及单位:人民币/元</w:t>
      </w:r>
    </w:p>
    <w:tbl>
      <w:tblPr>
        <w:tblStyle w:val="7"/>
        <w:tblW w:w="4996" w:type="pct"/>
        <w:tblInd w:w="0" w:type="dxa"/>
        <w:tblLayout w:type="autofit"/>
        <w:tblCellMar>
          <w:top w:w="0" w:type="dxa"/>
          <w:left w:w="108" w:type="dxa"/>
          <w:bottom w:w="0" w:type="dxa"/>
          <w:right w:w="108" w:type="dxa"/>
        </w:tblCellMar>
      </w:tblPr>
      <w:tblGrid>
        <w:gridCol w:w="696"/>
        <w:gridCol w:w="1296"/>
        <w:gridCol w:w="3116"/>
        <w:gridCol w:w="1545"/>
        <w:gridCol w:w="696"/>
        <w:gridCol w:w="1166"/>
      </w:tblGrid>
      <w:tr w14:paraId="34DFACBD">
        <w:tblPrEx>
          <w:tblCellMar>
            <w:top w:w="0" w:type="dxa"/>
            <w:left w:w="108" w:type="dxa"/>
            <w:bottom w:w="0" w:type="dxa"/>
            <w:right w:w="108" w:type="dxa"/>
          </w:tblCellMar>
        </w:tblPrEx>
        <w:trPr>
          <w:trHeight w:val="390" w:hRule="atLeast"/>
        </w:trPr>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81E602">
            <w:pPr>
              <w:widowControl/>
              <w:jc w:val="center"/>
              <w:textAlignment w:val="center"/>
              <w:rPr>
                <w:rFonts w:ascii="宋体" w:hAnsi="宋体" w:cs="宋体"/>
                <w:color w:val="000000"/>
                <w:sz w:val="24"/>
              </w:rPr>
            </w:pPr>
            <w:r>
              <w:rPr>
                <w:rFonts w:hint="eastAsia" w:ascii="宋体" w:hAnsi="宋体" w:cs="宋体"/>
                <w:color w:val="000000"/>
                <w:kern w:val="0"/>
                <w:sz w:val="24"/>
              </w:rPr>
              <w:t>序号</w:t>
            </w:r>
          </w:p>
        </w:tc>
        <w:tc>
          <w:tcPr>
            <w:tcW w:w="77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EF24C7">
            <w:pPr>
              <w:widowControl/>
              <w:jc w:val="center"/>
              <w:textAlignment w:val="center"/>
              <w:rPr>
                <w:rFonts w:ascii="宋体" w:hAnsi="宋体" w:cs="宋体"/>
                <w:color w:val="000000"/>
                <w:sz w:val="24"/>
              </w:rPr>
            </w:pPr>
            <w:r>
              <w:rPr>
                <w:rFonts w:hint="eastAsia" w:ascii="宋体" w:hAnsi="宋体" w:cs="宋体"/>
                <w:color w:val="000000"/>
                <w:kern w:val="0"/>
                <w:sz w:val="24"/>
              </w:rPr>
              <w:t>货物名称</w:t>
            </w:r>
          </w:p>
        </w:tc>
        <w:tc>
          <w:tcPr>
            <w:tcW w:w="1843" w:type="pct"/>
            <w:tcBorders>
              <w:top w:val="single" w:color="000000" w:sz="8" w:space="0"/>
              <w:left w:val="nil"/>
              <w:bottom w:val="single" w:color="000000" w:sz="8" w:space="0"/>
              <w:right w:val="single" w:color="000000" w:sz="8" w:space="0"/>
            </w:tcBorders>
            <w:shd w:val="clear" w:color="auto" w:fill="auto"/>
            <w:noWrap/>
            <w:vAlign w:val="center"/>
          </w:tcPr>
          <w:p w14:paraId="7FE18FDE">
            <w:pPr>
              <w:widowControl/>
              <w:jc w:val="center"/>
              <w:textAlignment w:val="center"/>
              <w:rPr>
                <w:rFonts w:ascii="宋体" w:hAnsi="宋体" w:cs="宋体"/>
                <w:color w:val="000000"/>
                <w:sz w:val="24"/>
              </w:rPr>
            </w:pPr>
            <w:r>
              <w:rPr>
                <w:rFonts w:hint="eastAsia" w:ascii="宋体" w:hAnsi="宋体" w:cs="宋体"/>
                <w:color w:val="000000"/>
                <w:kern w:val="0"/>
                <w:sz w:val="24"/>
              </w:rPr>
              <w:t>规格型号</w:t>
            </w:r>
          </w:p>
        </w:tc>
        <w:tc>
          <w:tcPr>
            <w:tcW w:w="921" w:type="pct"/>
            <w:tcBorders>
              <w:top w:val="single" w:color="000000" w:sz="8" w:space="0"/>
              <w:left w:val="nil"/>
              <w:bottom w:val="single" w:color="000000" w:sz="8" w:space="0"/>
              <w:right w:val="single" w:color="000000" w:sz="8" w:space="0"/>
            </w:tcBorders>
            <w:shd w:val="clear" w:color="auto" w:fill="auto"/>
            <w:noWrap/>
            <w:vAlign w:val="center"/>
          </w:tcPr>
          <w:p w14:paraId="5A9C1E44">
            <w:pPr>
              <w:widowControl/>
              <w:jc w:val="center"/>
              <w:textAlignment w:val="center"/>
              <w:rPr>
                <w:rFonts w:ascii="宋体" w:hAnsi="宋体" w:cs="宋体"/>
                <w:color w:val="000000"/>
                <w:sz w:val="24"/>
              </w:rPr>
            </w:pPr>
            <w:r>
              <w:rPr>
                <w:rFonts w:hint="eastAsia" w:ascii="宋体" w:hAnsi="宋体" w:cs="宋体"/>
                <w:color w:val="000000"/>
                <w:kern w:val="0"/>
                <w:sz w:val="24"/>
              </w:rPr>
              <w:t>单价</w:t>
            </w:r>
          </w:p>
        </w:tc>
        <w:tc>
          <w:tcPr>
            <w:tcW w:w="377" w:type="pct"/>
            <w:tcBorders>
              <w:top w:val="single" w:color="000000" w:sz="8" w:space="0"/>
              <w:left w:val="nil"/>
              <w:bottom w:val="single" w:color="000000" w:sz="8" w:space="0"/>
              <w:right w:val="single" w:color="000000" w:sz="8" w:space="0"/>
            </w:tcBorders>
            <w:shd w:val="clear" w:color="auto" w:fill="auto"/>
            <w:noWrap/>
            <w:vAlign w:val="center"/>
          </w:tcPr>
          <w:p w14:paraId="26FA3937">
            <w:pPr>
              <w:widowControl/>
              <w:jc w:val="center"/>
              <w:textAlignment w:val="center"/>
              <w:rPr>
                <w:rFonts w:ascii="宋体" w:hAnsi="宋体" w:cs="宋体"/>
                <w:color w:val="000000"/>
                <w:sz w:val="24"/>
              </w:rPr>
            </w:pPr>
            <w:r>
              <w:rPr>
                <w:rFonts w:hint="eastAsia" w:ascii="宋体" w:hAnsi="宋体" w:cs="宋体"/>
                <w:color w:val="000000"/>
                <w:kern w:val="0"/>
                <w:sz w:val="24"/>
              </w:rPr>
              <w:t>数量</w:t>
            </w:r>
          </w:p>
        </w:tc>
        <w:tc>
          <w:tcPr>
            <w:tcW w:w="698" w:type="pct"/>
            <w:tcBorders>
              <w:top w:val="single" w:color="000000" w:sz="8" w:space="0"/>
              <w:left w:val="nil"/>
              <w:bottom w:val="single" w:color="000000" w:sz="8" w:space="0"/>
              <w:right w:val="single" w:color="000000" w:sz="8" w:space="0"/>
            </w:tcBorders>
            <w:shd w:val="clear" w:color="auto" w:fill="auto"/>
            <w:noWrap/>
            <w:vAlign w:val="center"/>
          </w:tcPr>
          <w:p w14:paraId="09C8B7B1">
            <w:pPr>
              <w:widowControl/>
              <w:jc w:val="center"/>
              <w:textAlignment w:val="center"/>
              <w:rPr>
                <w:rFonts w:ascii="宋体" w:hAnsi="宋体" w:cs="宋体"/>
                <w:color w:val="000000"/>
                <w:sz w:val="24"/>
              </w:rPr>
            </w:pPr>
            <w:r>
              <w:rPr>
                <w:rFonts w:hint="eastAsia" w:ascii="宋体" w:hAnsi="宋体" w:cs="宋体"/>
                <w:color w:val="000000"/>
                <w:kern w:val="0"/>
                <w:sz w:val="24"/>
              </w:rPr>
              <w:t>总价</w:t>
            </w:r>
          </w:p>
        </w:tc>
      </w:tr>
      <w:tr w14:paraId="32C29B34">
        <w:tblPrEx>
          <w:tblCellMar>
            <w:top w:w="0" w:type="dxa"/>
            <w:left w:w="108" w:type="dxa"/>
            <w:bottom w:w="0" w:type="dxa"/>
            <w:right w:w="108" w:type="dxa"/>
          </w:tblCellMar>
        </w:tblPrEx>
        <w:trPr>
          <w:trHeight w:val="2232" w:hRule="atLeast"/>
        </w:trPr>
        <w:tc>
          <w:tcPr>
            <w:tcW w:w="383" w:type="pct"/>
            <w:tcBorders>
              <w:top w:val="nil"/>
              <w:left w:val="single" w:color="000000" w:sz="8" w:space="0"/>
              <w:bottom w:val="single" w:color="000000" w:sz="8" w:space="0"/>
              <w:right w:val="single" w:color="000000" w:sz="8" w:space="0"/>
            </w:tcBorders>
            <w:shd w:val="clear" w:color="auto" w:fill="auto"/>
            <w:noWrap/>
            <w:vAlign w:val="center"/>
          </w:tcPr>
          <w:p w14:paraId="7B438564">
            <w:pPr>
              <w:widowControl/>
              <w:jc w:val="center"/>
              <w:textAlignment w:val="center"/>
              <w:rPr>
                <w:rFonts w:ascii="宋体" w:hAnsi="宋体" w:cs="宋体"/>
                <w:color w:val="000000"/>
                <w:sz w:val="24"/>
              </w:rPr>
            </w:pPr>
            <w:r>
              <w:rPr>
                <w:rFonts w:hint="eastAsia" w:ascii="宋体" w:hAnsi="宋体" w:cs="宋体"/>
                <w:color w:val="000000"/>
                <w:kern w:val="0"/>
                <w:sz w:val="24"/>
              </w:rPr>
              <w:t>1</w:t>
            </w:r>
          </w:p>
        </w:tc>
        <w:tc>
          <w:tcPr>
            <w:tcW w:w="775" w:type="pct"/>
            <w:tcBorders>
              <w:top w:val="nil"/>
              <w:left w:val="nil"/>
              <w:bottom w:val="nil"/>
              <w:right w:val="nil"/>
            </w:tcBorders>
            <w:shd w:val="clear" w:color="auto" w:fill="auto"/>
            <w:vAlign w:val="center"/>
          </w:tcPr>
          <w:p w14:paraId="6C6B611A">
            <w:pPr>
              <w:widowControl/>
              <w:jc w:val="center"/>
              <w:textAlignment w:val="center"/>
              <w:rPr>
                <w:rFonts w:ascii="宋体" w:hAnsi="宋体" w:cs="宋体"/>
                <w:color w:val="000000"/>
                <w:sz w:val="24"/>
              </w:rPr>
            </w:pPr>
          </w:p>
        </w:tc>
        <w:tc>
          <w:tcPr>
            <w:tcW w:w="1843" w:type="pct"/>
            <w:tcBorders>
              <w:top w:val="nil"/>
              <w:left w:val="single" w:color="000000" w:sz="4" w:space="0"/>
              <w:bottom w:val="nil"/>
              <w:right w:val="single" w:color="000000" w:sz="4" w:space="0"/>
            </w:tcBorders>
            <w:shd w:val="clear" w:color="auto" w:fill="auto"/>
            <w:vAlign w:val="center"/>
          </w:tcPr>
          <w:p w14:paraId="2B85098E">
            <w:pPr>
              <w:widowControl/>
              <w:jc w:val="left"/>
              <w:textAlignment w:val="center"/>
              <w:rPr>
                <w:rFonts w:ascii="宋体" w:hAnsi="宋体" w:cs="宋体"/>
                <w:color w:val="000000"/>
                <w:sz w:val="24"/>
              </w:rPr>
            </w:pPr>
          </w:p>
        </w:tc>
        <w:tc>
          <w:tcPr>
            <w:tcW w:w="921" w:type="pct"/>
            <w:tcBorders>
              <w:top w:val="nil"/>
              <w:left w:val="nil"/>
              <w:bottom w:val="single" w:color="000000" w:sz="8" w:space="0"/>
              <w:right w:val="single" w:color="000000" w:sz="8" w:space="0"/>
            </w:tcBorders>
            <w:shd w:val="clear" w:color="auto" w:fill="auto"/>
            <w:noWrap/>
            <w:vAlign w:val="center"/>
          </w:tcPr>
          <w:p w14:paraId="0C53D506">
            <w:pPr>
              <w:widowControl/>
              <w:jc w:val="center"/>
              <w:textAlignment w:val="center"/>
              <w:rPr>
                <w:rFonts w:ascii="宋体" w:hAnsi="宋体" w:cs="宋体"/>
                <w:color w:val="000000"/>
                <w:sz w:val="24"/>
              </w:rPr>
            </w:pPr>
          </w:p>
        </w:tc>
        <w:tc>
          <w:tcPr>
            <w:tcW w:w="377" w:type="pct"/>
            <w:tcBorders>
              <w:top w:val="nil"/>
              <w:left w:val="nil"/>
              <w:bottom w:val="single" w:color="000000" w:sz="8" w:space="0"/>
              <w:right w:val="single" w:color="000000" w:sz="8" w:space="0"/>
            </w:tcBorders>
            <w:shd w:val="clear" w:color="auto" w:fill="auto"/>
            <w:noWrap/>
            <w:vAlign w:val="center"/>
          </w:tcPr>
          <w:p w14:paraId="3F1F2347">
            <w:pPr>
              <w:widowControl/>
              <w:jc w:val="center"/>
              <w:textAlignment w:val="center"/>
              <w:rPr>
                <w:rFonts w:ascii="宋体" w:hAnsi="宋体" w:cs="宋体"/>
                <w:color w:val="000000"/>
                <w:sz w:val="24"/>
              </w:rPr>
            </w:pPr>
          </w:p>
        </w:tc>
        <w:tc>
          <w:tcPr>
            <w:tcW w:w="698" w:type="pct"/>
            <w:tcBorders>
              <w:top w:val="nil"/>
              <w:left w:val="nil"/>
              <w:bottom w:val="single" w:color="000000" w:sz="8" w:space="0"/>
              <w:right w:val="single" w:color="000000" w:sz="8" w:space="0"/>
            </w:tcBorders>
            <w:shd w:val="clear" w:color="auto" w:fill="auto"/>
            <w:noWrap/>
            <w:vAlign w:val="center"/>
          </w:tcPr>
          <w:p w14:paraId="178492D7">
            <w:pPr>
              <w:widowControl/>
              <w:jc w:val="center"/>
              <w:textAlignment w:val="center"/>
              <w:rPr>
                <w:rFonts w:ascii="宋体" w:hAnsi="宋体" w:cs="宋体"/>
                <w:color w:val="000000"/>
                <w:sz w:val="24"/>
              </w:rPr>
            </w:pPr>
          </w:p>
        </w:tc>
      </w:tr>
      <w:tr w14:paraId="47128618">
        <w:tblPrEx>
          <w:tblCellMar>
            <w:top w:w="0" w:type="dxa"/>
            <w:left w:w="108" w:type="dxa"/>
            <w:bottom w:w="0" w:type="dxa"/>
            <w:right w:w="108" w:type="dxa"/>
          </w:tblCellMar>
        </w:tblPrEx>
        <w:trPr>
          <w:trHeight w:val="390" w:hRule="atLeast"/>
        </w:trPr>
        <w:tc>
          <w:tcPr>
            <w:tcW w:w="383" w:type="pct"/>
            <w:tcBorders>
              <w:top w:val="nil"/>
              <w:left w:val="single" w:color="000000" w:sz="8" w:space="0"/>
              <w:bottom w:val="single" w:color="000000" w:sz="8" w:space="0"/>
              <w:right w:val="nil"/>
            </w:tcBorders>
            <w:shd w:val="clear" w:color="auto" w:fill="auto"/>
            <w:noWrap/>
            <w:vAlign w:val="center"/>
          </w:tcPr>
          <w:p w14:paraId="7C5EBB14">
            <w:pPr>
              <w:widowControl/>
              <w:jc w:val="center"/>
              <w:textAlignment w:val="center"/>
              <w:rPr>
                <w:rFonts w:ascii="宋体" w:hAnsi="宋体" w:cs="宋体"/>
                <w:color w:val="000000"/>
                <w:sz w:val="24"/>
              </w:rPr>
            </w:pPr>
            <w:r>
              <w:rPr>
                <w:rFonts w:hint="eastAsia" w:ascii="宋体" w:hAnsi="宋体" w:cs="宋体"/>
                <w:color w:val="000000"/>
                <w:kern w:val="0"/>
                <w:sz w:val="24"/>
              </w:rPr>
              <w:t>2</w:t>
            </w:r>
          </w:p>
        </w:tc>
        <w:tc>
          <w:tcPr>
            <w:tcW w:w="775" w:type="pct"/>
            <w:tcBorders>
              <w:top w:val="single" w:color="000000" w:sz="8" w:space="0"/>
              <w:left w:val="single" w:color="000000" w:sz="8" w:space="0"/>
              <w:bottom w:val="single" w:color="000000" w:sz="8" w:space="0"/>
              <w:right w:val="single" w:color="000000" w:sz="4" w:space="0"/>
            </w:tcBorders>
            <w:shd w:val="clear" w:color="auto" w:fill="auto"/>
            <w:noWrap/>
            <w:vAlign w:val="center"/>
          </w:tcPr>
          <w:p w14:paraId="66E2DC56">
            <w:pPr>
              <w:widowControl/>
              <w:jc w:val="center"/>
              <w:textAlignment w:val="center"/>
              <w:rPr>
                <w:rFonts w:ascii="宋体" w:hAnsi="宋体" w:cs="宋体"/>
                <w:color w:val="000000"/>
                <w:sz w:val="24"/>
              </w:rPr>
            </w:pPr>
            <w:r>
              <w:rPr>
                <w:rFonts w:hint="eastAsia" w:ascii="宋体" w:hAnsi="宋体" w:cs="宋体"/>
                <w:color w:val="000000"/>
                <w:kern w:val="0"/>
                <w:sz w:val="24"/>
              </w:rPr>
              <w:t>含税合计</w:t>
            </w:r>
          </w:p>
        </w:tc>
        <w:tc>
          <w:tcPr>
            <w:tcW w:w="3142" w:type="pct"/>
            <w:gridSpan w:val="3"/>
            <w:tcBorders>
              <w:top w:val="single" w:color="000000" w:sz="8" w:space="0"/>
              <w:left w:val="nil"/>
              <w:bottom w:val="single" w:color="000000" w:sz="8" w:space="0"/>
              <w:right w:val="single" w:color="000000" w:sz="8" w:space="0"/>
            </w:tcBorders>
            <w:shd w:val="clear" w:color="auto" w:fill="auto"/>
            <w:noWrap/>
            <w:vAlign w:val="center"/>
          </w:tcPr>
          <w:p w14:paraId="3678F73C">
            <w:pPr>
              <w:widowControl/>
              <w:jc w:val="center"/>
              <w:textAlignment w:val="center"/>
              <w:rPr>
                <w:rFonts w:ascii="宋体" w:hAnsi="宋体" w:cs="宋体"/>
                <w:color w:val="000000"/>
                <w:sz w:val="24"/>
              </w:rPr>
            </w:pPr>
            <w:r>
              <w:rPr>
                <w:rFonts w:hint="eastAsia" w:ascii="宋体" w:hAnsi="宋体" w:cs="宋体"/>
                <w:color w:val="000000"/>
                <w:kern w:val="0"/>
                <w:sz w:val="24"/>
              </w:rPr>
              <w:t>大写：</w:t>
            </w:r>
          </w:p>
        </w:tc>
        <w:tc>
          <w:tcPr>
            <w:tcW w:w="698" w:type="pct"/>
            <w:tcBorders>
              <w:top w:val="nil"/>
              <w:left w:val="nil"/>
              <w:bottom w:val="single" w:color="000000" w:sz="8" w:space="0"/>
              <w:right w:val="single" w:color="000000" w:sz="8" w:space="0"/>
            </w:tcBorders>
            <w:shd w:val="clear" w:color="auto" w:fill="auto"/>
            <w:noWrap/>
            <w:vAlign w:val="center"/>
          </w:tcPr>
          <w:p w14:paraId="4FF5C039">
            <w:pPr>
              <w:widowControl/>
              <w:jc w:val="center"/>
              <w:textAlignment w:val="center"/>
              <w:rPr>
                <w:rFonts w:ascii="宋体" w:hAnsi="宋体" w:cs="宋体"/>
                <w:color w:val="000000"/>
                <w:sz w:val="24"/>
              </w:rPr>
            </w:pPr>
          </w:p>
        </w:tc>
      </w:tr>
    </w:tbl>
    <w:p w14:paraId="7A0DE3BD">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产品技术参数：详见附件一。</w:t>
      </w:r>
    </w:p>
    <w:p w14:paraId="7CBE04B4">
      <w:p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二、</w:t>
      </w:r>
      <w:r>
        <w:rPr>
          <w:rFonts w:hint="eastAsia" w:ascii="仿宋_GB2312" w:hAnsi="仿宋_GB2312" w:eastAsia="仿宋_GB2312" w:cs="仿宋_GB2312"/>
          <w:b/>
          <w:bCs/>
          <w:spacing w:val="0"/>
          <w:kern w:val="2"/>
          <w:sz w:val="28"/>
          <w:szCs w:val="28"/>
          <w:lang w:val="en-US" w:eastAsia="zh-CN"/>
        </w:rPr>
        <w:t>安装</w:t>
      </w:r>
      <w:r>
        <w:rPr>
          <w:rFonts w:hint="eastAsia" w:ascii="仿宋_GB2312" w:hAnsi="仿宋_GB2312" w:eastAsia="仿宋_GB2312" w:cs="仿宋_GB2312"/>
          <w:b/>
          <w:bCs/>
          <w:spacing w:val="0"/>
          <w:kern w:val="2"/>
          <w:sz w:val="28"/>
          <w:szCs w:val="28"/>
        </w:rPr>
        <w:t>条件：</w:t>
      </w:r>
    </w:p>
    <w:p w14:paraId="36DCD2F0">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1.安装</w:t>
      </w:r>
      <w:r>
        <w:rPr>
          <w:rFonts w:hint="eastAsia" w:ascii="仿宋_GB2312" w:hAnsi="仿宋_GB2312" w:eastAsia="仿宋_GB2312" w:cs="仿宋_GB2312"/>
          <w:sz w:val="28"/>
          <w:szCs w:val="28"/>
        </w:rPr>
        <w:t>地点：甲方指定地点。</w:t>
      </w:r>
    </w:p>
    <w:p w14:paraId="68C1DC9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交付时限：签订合同后，</w:t>
      </w:r>
      <w:r>
        <w:rPr>
          <w:rFonts w:hint="eastAsia" w:ascii="仿宋_GB2312" w:hAnsi="仿宋_GB2312" w:eastAsia="仿宋_GB2312" w:cs="仿宋_GB2312"/>
          <w:sz w:val="28"/>
          <w:szCs w:val="28"/>
          <w:lang w:val="en-US" w:eastAsia="zh-CN"/>
        </w:rPr>
        <w:t>xx</w:t>
      </w:r>
      <w:r>
        <w:rPr>
          <w:rFonts w:hint="eastAsia" w:ascii="仿宋_GB2312" w:hAnsi="仿宋_GB2312" w:eastAsia="仿宋_GB2312" w:cs="仿宋_GB2312"/>
          <w:sz w:val="28"/>
          <w:szCs w:val="28"/>
        </w:rPr>
        <w:t>个日历日内完成安装部署完成，试运行</w:t>
      </w:r>
      <w:r>
        <w:rPr>
          <w:rFonts w:hint="eastAsia" w:ascii="仿宋_GB2312" w:hAnsi="仿宋_GB2312" w:eastAsia="仿宋_GB2312" w:cs="仿宋_GB2312"/>
          <w:sz w:val="28"/>
          <w:szCs w:val="28"/>
          <w:lang w:val="en-US" w:eastAsia="zh-CN"/>
        </w:rPr>
        <w:t>xx</w:t>
      </w:r>
      <w:r>
        <w:rPr>
          <w:rFonts w:hint="eastAsia" w:ascii="仿宋_GB2312" w:hAnsi="仿宋_GB2312" w:eastAsia="仿宋_GB2312" w:cs="仿宋_GB2312"/>
          <w:sz w:val="28"/>
          <w:szCs w:val="28"/>
        </w:rPr>
        <w:t>天试用正常后组织验收，保证在甲方要求的日期正式上线运行，并交付</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rPr>
        <w:t>验收合格，不得延期。</w:t>
      </w:r>
    </w:p>
    <w:p w14:paraId="2EDB53A9">
      <w:p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三、</w:t>
      </w:r>
      <w:r>
        <w:rPr>
          <w:rFonts w:hint="eastAsia" w:ascii="仿宋_GB2312" w:hAnsi="仿宋_GB2312" w:eastAsia="仿宋_GB2312" w:cs="仿宋_GB2312"/>
          <w:b/>
          <w:bCs/>
          <w:spacing w:val="0"/>
          <w:kern w:val="2"/>
          <w:sz w:val="28"/>
          <w:szCs w:val="28"/>
          <w:lang w:val="en-US" w:eastAsia="zh-CN"/>
        </w:rPr>
        <w:t>货物</w:t>
      </w:r>
      <w:r>
        <w:rPr>
          <w:rFonts w:hint="eastAsia" w:ascii="仿宋_GB2312" w:hAnsi="仿宋_GB2312" w:eastAsia="仿宋_GB2312" w:cs="仿宋_GB2312"/>
          <w:b/>
          <w:bCs/>
          <w:spacing w:val="0"/>
          <w:kern w:val="2"/>
          <w:sz w:val="28"/>
          <w:szCs w:val="28"/>
        </w:rPr>
        <w:t>服务内容</w:t>
      </w:r>
    </w:p>
    <w:p w14:paraId="27C9901E">
      <w:pPr>
        <w:spacing w:line="560" w:lineRule="exact"/>
        <w:ind w:firstLine="560"/>
        <w:rPr>
          <w:rFonts w:hint="eastAsia" w:ascii="仿宋_GB2312" w:hAnsi="仿宋_GB2312" w:eastAsia="仿宋_GB2312" w:cs="仿宋_GB2312"/>
          <w:sz w:val="28"/>
          <w:szCs w:val="28"/>
        </w:rPr>
      </w:pPr>
      <w:r>
        <w:rPr>
          <w:rFonts w:hint="eastAsia" w:ascii="仿宋_GB2312" w:hAnsi="仿宋_GB2312" w:eastAsia="仿宋_GB2312" w:cs="仿宋_GB2312"/>
          <w:spacing w:val="0"/>
          <w:sz w:val="28"/>
          <w:szCs w:val="28"/>
          <w:lang w:val="en-US" w:eastAsia="zh-CN"/>
        </w:rPr>
        <w:t>1.</w:t>
      </w:r>
      <w:r>
        <w:rPr>
          <w:rFonts w:hint="eastAsia" w:ascii="仿宋_GB2312" w:hAnsi="仿宋_GB2312" w:eastAsia="仿宋_GB2312" w:cs="仿宋_GB2312"/>
          <w:spacing w:val="0"/>
          <w:sz w:val="28"/>
          <w:szCs w:val="28"/>
        </w:rPr>
        <w:t>提供本地客户服务支持，24小时响应，提供定期巡检、软件升级、数据导入、更新服务、技术支持等服务；</w:t>
      </w:r>
    </w:p>
    <w:p w14:paraId="33B6E8B8">
      <w:pPr>
        <w:spacing w:line="560" w:lineRule="exact"/>
        <w:ind w:firstLine="560"/>
        <w:rPr>
          <w:rFonts w:hint="eastAsia" w:ascii="仿宋_GB2312" w:hAnsi="仿宋_GB2312" w:eastAsia="仿宋_GB2312" w:cs="仿宋_GB2312"/>
          <w:spacing w:val="0"/>
          <w:sz w:val="28"/>
          <w:szCs w:val="28"/>
        </w:rPr>
      </w:pPr>
      <w:r>
        <w:rPr>
          <w:rFonts w:hint="eastAsia" w:ascii="仿宋_GB2312" w:hAnsi="仿宋_GB2312" w:eastAsia="仿宋_GB2312" w:cs="仿宋_GB2312"/>
          <w:spacing w:val="0"/>
          <w:sz w:val="28"/>
          <w:szCs w:val="28"/>
          <w:lang w:val="en-US" w:eastAsia="zh-CN"/>
        </w:rPr>
        <w:t>2.</w:t>
      </w:r>
      <w:r>
        <w:rPr>
          <w:rFonts w:hint="eastAsia" w:ascii="仿宋_GB2312" w:hAnsi="仿宋_GB2312" w:eastAsia="仿宋_GB2312" w:cs="仿宋_GB2312"/>
          <w:spacing w:val="0"/>
          <w:sz w:val="28"/>
          <w:szCs w:val="28"/>
        </w:rPr>
        <w:t>培训2名以上网络管理人员，对系统进行操作培训；</w:t>
      </w:r>
    </w:p>
    <w:p w14:paraId="200F4350">
      <w:pPr>
        <w:spacing w:line="560" w:lineRule="exact"/>
        <w:ind w:firstLine="560"/>
        <w:rPr>
          <w:rFonts w:hint="eastAsia" w:ascii="仿宋_GB2312" w:hAnsi="仿宋_GB2312" w:eastAsia="仿宋_GB2312" w:cs="仿宋_GB2312"/>
          <w:spacing w:val="0"/>
          <w:sz w:val="28"/>
          <w:szCs w:val="28"/>
        </w:rPr>
      </w:pPr>
      <w:r>
        <w:rPr>
          <w:rFonts w:hint="eastAsia" w:ascii="仿宋_GB2312" w:hAnsi="仿宋_GB2312" w:eastAsia="仿宋_GB2312" w:cs="仿宋_GB2312"/>
          <w:spacing w:val="0"/>
          <w:sz w:val="28"/>
          <w:szCs w:val="28"/>
          <w:lang w:val="en-US" w:eastAsia="zh-CN"/>
        </w:rPr>
        <w:t>3.</w:t>
      </w:r>
      <w:r>
        <w:rPr>
          <w:rFonts w:hint="eastAsia" w:ascii="仿宋_GB2312" w:hAnsi="仿宋_GB2312" w:eastAsia="仿宋_GB2312" w:cs="仿宋_GB2312"/>
          <w:spacing w:val="0"/>
          <w:sz w:val="28"/>
          <w:szCs w:val="28"/>
        </w:rPr>
        <w:t>提供电话热线和网络咨询服务；</w:t>
      </w:r>
    </w:p>
    <w:p w14:paraId="3D2C22A7">
      <w:pPr>
        <w:spacing w:line="560" w:lineRule="exact"/>
        <w:ind w:firstLine="560"/>
        <w:rPr>
          <w:rFonts w:hint="eastAsia" w:ascii="仿宋_GB2312" w:hAnsi="仿宋_GB2312" w:eastAsia="仿宋_GB2312" w:cs="仿宋_GB2312"/>
          <w:spacing w:val="0"/>
          <w:sz w:val="28"/>
          <w:szCs w:val="28"/>
        </w:rPr>
      </w:pPr>
      <w:r>
        <w:rPr>
          <w:rFonts w:hint="eastAsia" w:ascii="仿宋_GB2312" w:hAnsi="仿宋_GB2312" w:eastAsia="仿宋_GB2312" w:cs="仿宋_GB2312"/>
          <w:spacing w:val="0"/>
          <w:sz w:val="28"/>
          <w:szCs w:val="28"/>
          <w:lang w:val="en-US" w:eastAsia="zh-CN"/>
        </w:rPr>
        <w:t>4.</w:t>
      </w:r>
      <w:r>
        <w:rPr>
          <w:rFonts w:hint="eastAsia" w:ascii="仿宋_GB2312" w:hAnsi="仿宋_GB2312" w:eastAsia="仿宋_GB2312" w:cs="仿宋_GB2312"/>
          <w:spacing w:val="0"/>
          <w:sz w:val="28"/>
          <w:szCs w:val="28"/>
        </w:rPr>
        <w:t>软件在升级范围时间内出现新版本应免费升级；</w:t>
      </w:r>
    </w:p>
    <w:p w14:paraId="5F4AE42A">
      <w:pPr>
        <w:spacing w:line="560" w:lineRule="exact"/>
        <w:ind w:firstLine="560"/>
        <w:rPr>
          <w:rFonts w:hint="eastAsia" w:ascii="仿宋_GB2312" w:hAnsi="仿宋_GB2312" w:eastAsia="仿宋_GB2312" w:cs="仿宋_GB2312"/>
          <w:spacing w:val="0"/>
          <w:sz w:val="28"/>
          <w:szCs w:val="28"/>
        </w:rPr>
      </w:pPr>
      <w:r>
        <w:rPr>
          <w:rFonts w:hint="eastAsia" w:ascii="仿宋_GB2312" w:hAnsi="仿宋_GB2312" w:eastAsia="仿宋_GB2312" w:cs="仿宋_GB2312"/>
          <w:spacing w:val="0"/>
          <w:sz w:val="28"/>
          <w:szCs w:val="28"/>
          <w:lang w:val="en-US" w:eastAsia="zh-CN"/>
        </w:rPr>
        <w:t>5.</w:t>
      </w:r>
      <w:r>
        <w:rPr>
          <w:rFonts w:hint="eastAsia" w:ascii="仿宋_GB2312" w:hAnsi="仿宋_GB2312" w:eastAsia="仿宋_GB2312" w:cs="仿宋_GB2312"/>
          <w:spacing w:val="0"/>
          <w:sz w:val="28"/>
          <w:szCs w:val="28"/>
        </w:rPr>
        <w:t>提供一年不少于两场面向管理员或最终用户培训。</w:t>
      </w:r>
    </w:p>
    <w:p w14:paraId="22EF197E">
      <w:p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三、合同价款</w:t>
      </w:r>
    </w:p>
    <w:p w14:paraId="635617C4">
      <w:pPr>
        <w:spacing w:line="560" w:lineRule="exact"/>
        <w:ind w:firstLine="56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合同总价款为人民币（大写）</w:t>
      </w:r>
      <w:r>
        <w:rPr>
          <w:rFonts w:hint="eastAsia" w:ascii="仿宋_GB2312" w:hAnsi="仿宋_GB2312" w:eastAsia="仿宋_GB2312" w:cs="仿宋_GB2312"/>
          <w:sz w:val="28"/>
          <w:szCs w:val="28"/>
          <w:lang w:val="en-US" w:eastAsia="zh-CN"/>
        </w:rPr>
        <w:t>xx</w:t>
      </w:r>
      <w:r>
        <w:rPr>
          <w:rFonts w:hint="eastAsia" w:ascii="仿宋_GB2312" w:hAnsi="仿宋_GB2312" w:eastAsia="仿宋_GB2312" w:cs="仿宋_GB2312"/>
          <w:sz w:val="28"/>
          <w:szCs w:val="28"/>
        </w:rPr>
        <w:t>元整；¥</w:t>
      </w:r>
      <w:r>
        <w:rPr>
          <w:rFonts w:hint="eastAsia" w:ascii="仿宋_GB2312" w:hAnsi="仿宋_GB2312" w:eastAsia="仿宋_GB2312" w:cs="仿宋_GB2312"/>
          <w:sz w:val="28"/>
          <w:szCs w:val="28"/>
          <w:u w:val="none"/>
          <w:lang w:val="en-US" w:eastAsia="zh-CN"/>
        </w:rPr>
        <w:t>xx</w:t>
      </w:r>
      <w:r>
        <w:rPr>
          <w:rFonts w:hint="eastAsia" w:ascii="仿宋_GB2312" w:hAnsi="仿宋_GB2312" w:eastAsia="仿宋_GB2312" w:cs="仿宋_GB2312"/>
          <w:sz w:val="28"/>
          <w:szCs w:val="28"/>
        </w:rPr>
        <w:t>元。</w:t>
      </w:r>
    </w:p>
    <w:p w14:paraId="34CA6EE0">
      <w:pPr>
        <w:spacing w:line="560" w:lineRule="exact"/>
        <w:ind w:firstLine="56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合同总价包括但不限于：软件费、运维服务费、人工费、安装费、检测费及其他伴随费用、税费等完成本项目所需的一切费用。</w:t>
      </w:r>
    </w:p>
    <w:p w14:paraId="6CDE50DA">
      <w:pPr>
        <w:spacing w:line="560" w:lineRule="exact"/>
        <w:ind w:firstLine="56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合同总价一次性包死，不受市场价格变化因素的影响。</w:t>
      </w:r>
    </w:p>
    <w:p w14:paraId="553A31DB">
      <w:p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四、款项结算</w:t>
      </w:r>
    </w:p>
    <w:p w14:paraId="695D81E8">
      <w:pPr>
        <w:widowControl/>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结算比例</w:t>
      </w:r>
    </w:p>
    <w:p w14:paraId="3F6B0C72">
      <w:pPr>
        <w:widowControl/>
        <w:spacing w:line="560" w:lineRule="exact"/>
        <w:ind w:firstLine="560" w:firstLineChars="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甲方付款前，乙方应先向甲方提供等额发票及付款申请，否则甲方有权暂不付款，乙方仍应履行合同义务。合同签订后，货物到场并检验合格预付 ，达到付款条件起30个</w:t>
      </w:r>
      <w:r>
        <w:rPr>
          <w:rFonts w:hint="eastAsia" w:ascii="仿宋_GB2312" w:hAnsi="仿宋_GB2312" w:eastAsia="仿宋_GB2312" w:cs="仿宋_GB2312"/>
          <w:sz w:val="28"/>
          <w:szCs w:val="28"/>
          <w:lang w:val="en-US" w:eastAsia="zh-CN"/>
        </w:rPr>
        <w:t>工作日</w:t>
      </w:r>
      <w:r>
        <w:rPr>
          <w:rFonts w:hint="eastAsia" w:ascii="仿宋_GB2312" w:hAnsi="仿宋_GB2312" w:eastAsia="仿宋_GB2312" w:cs="仿宋_GB2312"/>
          <w:sz w:val="28"/>
          <w:szCs w:val="28"/>
        </w:rPr>
        <w:t>支付合同总金额的 30.00%；项目安装调试完成，并通过验收后，达到付款条件起30个</w:t>
      </w:r>
      <w:r>
        <w:rPr>
          <w:rFonts w:hint="eastAsia" w:ascii="仿宋_GB2312" w:hAnsi="仿宋_GB2312" w:eastAsia="仿宋_GB2312" w:cs="仿宋_GB2312"/>
          <w:sz w:val="28"/>
          <w:szCs w:val="28"/>
          <w:lang w:val="en-US" w:eastAsia="zh-CN"/>
        </w:rPr>
        <w:t>工作日</w:t>
      </w:r>
      <w:r>
        <w:rPr>
          <w:rFonts w:hint="eastAsia" w:ascii="仿宋_GB2312" w:hAnsi="仿宋_GB2312" w:eastAsia="仿宋_GB2312" w:cs="仿宋_GB2312"/>
          <w:sz w:val="28"/>
          <w:szCs w:val="28"/>
        </w:rPr>
        <w:t>支付合同总金额的 65.00%； 考核合格后，达到付款条件起 30</w:t>
      </w:r>
      <w:r>
        <w:rPr>
          <w:rFonts w:hint="eastAsia" w:ascii="仿宋_GB2312" w:hAnsi="仿宋_GB2312" w:eastAsia="仿宋_GB2312" w:cs="仿宋_GB2312"/>
          <w:sz w:val="28"/>
          <w:szCs w:val="28"/>
          <w:lang w:val="en-US" w:eastAsia="zh-CN"/>
        </w:rPr>
        <w:t>工作日</w:t>
      </w:r>
      <w:r>
        <w:rPr>
          <w:rFonts w:hint="eastAsia" w:ascii="仿宋_GB2312" w:hAnsi="仿宋_GB2312" w:eastAsia="仿宋_GB2312" w:cs="仿宋_GB2312"/>
          <w:sz w:val="28"/>
          <w:szCs w:val="28"/>
        </w:rPr>
        <w:t>内，支付合同总金额的 5.00%</w:t>
      </w:r>
    </w:p>
    <w:p w14:paraId="08DBB215">
      <w:pPr>
        <w:numPr>
          <w:ilvl w:val="-1"/>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支付方式：银行转账。</w:t>
      </w:r>
      <w:bookmarkStart w:id="2" w:name="_GoBack"/>
      <w:bookmarkEnd w:id="2"/>
    </w:p>
    <w:p w14:paraId="0DA8699A">
      <w:pPr>
        <w:numPr>
          <w:ilvl w:val="-1"/>
          <w:numId w:val="0"/>
        </w:numPr>
        <w:spacing w:line="560" w:lineRule="exact"/>
        <w:ind w:firstLine="560" w:firstLineChars="200"/>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甲方开票信息：</w:t>
      </w:r>
    </w:p>
    <w:p w14:paraId="11F0C5E1">
      <w:pPr>
        <w:numPr>
          <w:ilvl w:val="0"/>
          <w:numId w:val="0"/>
        </w:numPr>
        <w:spacing w:line="5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单位名称：西安市儿童医院</w:t>
      </w:r>
    </w:p>
    <w:p w14:paraId="33581A47">
      <w:pPr>
        <w:numPr>
          <w:ilvl w:val="0"/>
          <w:numId w:val="0"/>
        </w:numPr>
        <w:spacing w:line="5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统一社会信用代码：126101004372027054</w:t>
      </w:r>
    </w:p>
    <w:p w14:paraId="3345F921">
      <w:pPr>
        <w:numPr>
          <w:ilvl w:val="0"/>
          <w:numId w:val="0"/>
        </w:numPr>
        <w:spacing w:line="5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地址：西安市莲湖区西举院巷69号</w:t>
      </w:r>
    </w:p>
    <w:p w14:paraId="01CCA231">
      <w:pPr>
        <w:numPr>
          <w:ilvl w:val="0"/>
          <w:numId w:val="0"/>
        </w:numPr>
        <w:spacing w:line="560" w:lineRule="exact"/>
        <w:ind w:firstLine="560" w:firstLineChars="200"/>
        <w:rPr>
          <w:rFonts w:hint="default"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rPr>
        <w:t>电话：029-87692</w:t>
      </w:r>
      <w:r>
        <w:rPr>
          <w:rFonts w:hint="eastAsia" w:ascii="方正仿宋_GB2312" w:hAnsi="方正仿宋_GB2312" w:eastAsia="方正仿宋_GB2312" w:cs="方正仿宋_GB2312"/>
          <w:sz w:val="28"/>
          <w:szCs w:val="28"/>
          <w:lang w:val="en-US" w:eastAsia="zh-CN"/>
        </w:rPr>
        <w:t>121</w:t>
      </w:r>
    </w:p>
    <w:p w14:paraId="70636843">
      <w:pPr>
        <w:numPr>
          <w:ilvl w:val="0"/>
          <w:numId w:val="0"/>
        </w:numPr>
        <w:spacing w:line="5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开户行：交行西安甜水井街支行</w:t>
      </w:r>
    </w:p>
    <w:p w14:paraId="1E0BDC3B">
      <w:pPr>
        <w:numPr>
          <w:ilvl w:val="-1"/>
          <w:numId w:val="0"/>
        </w:numPr>
        <w:spacing w:line="560" w:lineRule="exact"/>
        <w:ind w:firstLine="560" w:firstLineChars="200"/>
        <w:rPr>
          <w:rFonts w:hint="eastAsia" w:ascii="仿宋_GB2312" w:hAnsi="仿宋_GB2312" w:eastAsia="仿宋_GB2312" w:cs="仿宋_GB2312"/>
          <w:sz w:val="28"/>
          <w:szCs w:val="28"/>
        </w:rPr>
      </w:pPr>
      <w:r>
        <w:rPr>
          <w:rFonts w:hint="eastAsia" w:ascii="方正仿宋_GB2312" w:hAnsi="方正仿宋_GB2312" w:eastAsia="方正仿宋_GB2312" w:cs="方正仿宋_GB2312"/>
          <w:sz w:val="28"/>
          <w:szCs w:val="28"/>
        </w:rPr>
        <w:t>账号：611301075018150042876</w:t>
      </w:r>
    </w:p>
    <w:p w14:paraId="3BBFA508">
      <w:pPr>
        <w:spacing w:line="560" w:lineRule="exact"/>
        <w:ind w:firstLine="56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乙方信息如下：</w:t>
      </w:r>
    </w:p>
    <w:p w14:paraId="59479E2F">
      <w:pPr>
        <w:spacing w:line="560" w:lineRule="exact"/>
        <w:ind w:firstLine="56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开户行：</w:t>
      </w:r>
    </w:p>
    <w:p w14:paraId="5B91ECED">
      <w:pPr>
        <w:spacing w:line="560" w:lineRule="exact"/>
        <w:ind w:firstLine="56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户名：</w:t>
      </w:r>
    </w:p>
    <w:p w14:paraId="10FDBB1E">
      <w:pPr>
        <w:spacing w:line="560" w:lineRule="exact"/>
        <w:ind w:firstLine="56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账号：</w:t>
      </w:r>
    </w:p>
    <w:p w14:paraId="3D058B6E">
      <w:pPr>
        <w:spacing w:line="560" w:lineRule="exact"/>
        <w:ind w:firstLine="56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纳税人识别号：</w:t>
      </w:r>
    </w:p>
    <w:p w14:paraId="63DBD031">
      <w:pPr>
        <w:spacing w:line="560" w:lineRule="exact"/>
        <w:ind w:firstLine="56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p>
    <w:p w14:paraId="1D291D30">
      <w:pPr>
        <w:spacing w:line="560" w:lineRule="exact"/>
        <w:ind w:firstLine="56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结算方式：验收合格后，乙方持成交通知书、服务合同、正式发票、项目验收单，与甲方结算。</w:t>
      </w:r>
    </w:p>
    <w:p w14:paraId="061B769F">
      <w:p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五、双方的权利和义务</w:t>
      </w:r>
    </w:p>
    <w:p w14:paraId="2899BEAF">
      <w:pPr>
        <w:widowControl/>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甲方的权利和义务</w:t>
      </w:r>
    </w:p>
    <w:p w14:paraId="1B24480C">
      <w:pPr>
        <w:numPr>
          <w:ilvl w:val="-1"/>
          <w:numId w:val="0"/>
        </w:numPr>
        <w:spacing w:line="560" w:lineRule="exact"/>
        <w:ind w:firstLine="560" w:firstLine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（1）甲方具有独立享有xx项目的免费、完整使用与管理权。</w:t>
      </w:r>
    </w:p>
    <w:p w14:paraId="70C0EA3A">
      <w:pPr>
        <w:numPr>
          <w:ilvl w:val="-1"/>
          <w:numId w:val="0"/>
        </w:numPr>
        <w:spacing w:line="560" w:lineRule="exact"/>
        <w:ind w:firstLine="560" w:firstLine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（2）设备到达交货地点后，甲方负责提供、安排设备及产品存放地点进行库存。</w:t>
      </w:r>
    </w:p>
    <w:p w14:paraId="03579EF0">
      <w:pPr>
        <w:numPr>
          <w:ilvl w:val="-1"/>
          <w:numId w:val="0"/>
        </w:numPr>
        <w:spacing w:line="560" w:lineRule="exact"/>
        <w:ind w:firstLine="560" w:firstLine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（3）甲方需及时安排相关人员配合、协助乙方进行系统安装调试并安排固定人员接受实施人员就系统使用、日常维护的培训。</w:t>
      </w:r>
    </w:p>
    <w:p w14:paraId="4B7B5AFC">
      <w:pPr>
        <w:numPr>
          <w:ilvl w:val="-1"/>
          <w:numId w:val="0"/>
        </w:numPr>
        <w:spacing w:line="560" w:lineRule="exact"/>
        <w:ind w:firstLine="56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乙方的权利和义务</w:t>
      </w:r>
    </w:p>
    <w:p w14:paraId="6C79D9D8">
      <w:pPr>
        <w:numPr>
          <w:ilvl w:val="-1"/>
          <w:numId w:val="0"/>
        </w:numPr>
        <w:spacing w:line="560" w:lineRule="exact"/>
        <w:ind w:firstLine="560" w:firstLine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（1）乙方应按照投标内容提供货物和服务。</w:t>
      </w:r>
    </w:p>
    <w:p w14:paraId="45D49D48">
      <w:pPr>
        <w:numPr>
          <w:ilvl w:val="-1"/>
          <w:numId w:val="0"/>
        </w:numPr>
        <w:spacing w:line="560" w:lineRule="exact"/>
        <w:ind w:firstLine="560" w:firstLine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（2）乙方保证遵守知识产权的有关规定。</w:t>
      </w:r>
    </w:p>
    <w:p w14:paraId="503799CB">
      <w:pPr>
        <w:numPr>
          <w:ilvl w:val="-1"/>
          <w:numId w:val="0"/>
        </w:numPr>
        <w:spacing w:line="560" w:lineRule="exact"/>
        <w:ind w:firstLine="562" w:firstLineChars="200"/>
        <w:rPr>
          <w:rFonts w:hint="eastAsia" w:ascii="仿宋_GB2312" w:hAnsi="仿宋_GB2312" w:eastAsia="仿宋_GB2312" w:cs="仿宋_GB2312"/>
          <w:b/>
          <w:bCs/>
          <w:color w:val="auto"/>
          <w:spacing w:val="0"/>
          <w:kern w:val="2"/>
          <w:sz w:val="28"/>
          <w:szCs w:val="28"/>
        </w:rPr>
      </w:pPr>
      <w:r>
        <w:rPr>
          <w:rFonts w:hint="eastAsia" w:ascii="仿宋_GB2312" w:hAnsi="仿宋_GB2312" w:eastAsia="仿宋_GB2312" w:cs="仿宋_GB2312"/>
          <w:b/>
          <w:bCs/>
          <w:spacing w:val="0"/>
          <w:kern w:val="2"/>
          <w:sz w:val="28"/>
          <w:szCs w:val="28"/>
          <w:lang w:val="en-US" w:eastAsia="zh-CN"/>
        </w:rPr>
        <w:t>六、</w:t>
      </w:r>
      <w:r>
        <w:rPr>
          <w:rFonts w:hint="eastAsia" w:ascii="仿宋_GB2312" w:hAnsi="仿宋_GB2312" w:eastAsia="仿宋_GB2312" w:cs="仿宋_GB2312"/>
          <w:b/>
          <w:bCs/>
          <w:color w:val="auto"/>
          <w:spacing w:val="0"/>
          <w:kern w:val="2"/>
          <w:sz w:val="28"/>
          <w:szCs w:val="28"/>
        </w:rPr>
        <w:t>质量保证</w:t>
      </w:r>
    </w:p>
    <w:p w14:paraId="781226CA">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维保期：验收合格之日起</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rPr>
        <w:t xml:space="preserve">年。 </w:t>
      </w:r>
    </w:p>
    <w:p w14:paraId="47865A19">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 xml:space="preserve">维保期内乙方提供各种售后服务，包括但不限于故障排除、漏洞修复、软件大版本升级、在线答疑、现场服务、定期回访、技术培训等售后服务；对于发现的软件自身功能问题，提供永久支持、及时给予圆满解决，相关费用包含在响应报价中，甲方不再另行支付。 </w:t>
      </w:r>
    </w:p>
    <w:p w14:paraId="15C286A0">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维保期内系统出现故障时，乙方须提供7×24小时服务响应；一般问题1小时内响应，2小时内处理，紧急问题或重大故障1小时内赶到现场，4小时内处理，保证系统正常运行。根据甲方时间安排提供至少两次的本地服务。</w:t>
      </w:r>
    </w:p>
    <w:p w14:paraId="50AB4039">
      <w:pPr>
        <w:spacing w:line="560" w:lineRule="exact"/>
        <w:ind w:firstLine="562" w:firstLineChars="200"/>
        <w:rPr>
          <w:rFonts w:hint="eastAsia" w:ascii="仿宋_GB2312" w:hAnsi="仿宋_GB2312" w:eastAsia="仿宋_GB2312" w:cs="仿宋_GB2312"/>
          <w:b/>
          <w:bCs/>
          <w:color w:val="auto"/>
          <w:spacing w:val="0"/>
          <w:kern w:val="2"/>
          <w:sz w:val="28"/>
          <w:szCs w:val="28"/>
        </w:rPr>
      </w:pPr>
      <w:r>
        <w:rPr>
          <w:rFonts w:hint="eastAsia" w:ascii="仿宋_GB2312" w:hAnsi="仿宋_GB2312" w:eastAsia="仿宋_GB2312" w:cs="仿宋_GB2312"/>
          <w:b/>
          <w:bCs/>
          <w:color w:val="auto"/>
          <w:spacing w:val="0"/>
          <w:kern w:val="2"/>
          <w:sz w:val="28"/>
          <w:szCs w:val="28"/>
        </w:rPr>
        <w:t>七、质量验收标准或规范</w:t>
      </w:r>
    </w:p>
    <w:p w14:paraId="6A843757">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乙方</w:t>
      </w:r>
      <w:r>
        <w:rPr>
          <w:rFonts w:hint="eastAsia" w:ascii="仿宋_GB2312" w:hAnsi="仿宋_GB2312" w:eastAsia="仿宋_GB2312" w:cs="仿宋_GB2312"/>
          <w:color w:val="auto"/>
          <w:kern w:val="2"/>
          <w:sz w:val="28"/>
          <w:szCs w:val="28"/>
        </w:rPr>
        <w:t>部署安装完成并自检合格后邀请甲方进行验收。甲方确认乙方的自检内容后，组织乙方（必要时请有关专家，由此产生的专家费由乙方承担）进行验收，验收合格后，项目验收单作为对服务的最终认可。</w:t>
      </w:r>
    </w:p>
    <w:p w14:paraId="0ABB0707">
      <w:pPr>
        <w:widowControl/>
        <w:numPr>
          <w:ilvl w:val="0"/>
          <w:numId w:val="0"/>
        </w:numPr>
        <w:spacing w:line="560" w:lineRule="exact"/>
        <w:ind w:firstLine="560" w:firstLineChars="0"/>
        <w:jc w:val="left"/>
        <w:rPr>
          <w:rFonts w:hint="eastAsia" w:ascii="仿宋_GB2312" w:hAnsi="仿宋_GB2312" w:eastAsia="仿宋_GB2312" w:cs="仿宋_GB2312"/>
          <w:b w:val="0"/>
          <w:sz w:val="28"/>
          <w:szCs w:val="28"/>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验收依据：</w:t>
      </w:r>
    </w:p>
    <w:p w14:paraId="4189FF72">
      <w:pPr>
        <w:widowControl/>
        <w:numPr>
          <w:ilvl w:val="0"/>
          <w:numId w:val="0"/>
        </w:numPr>
        <w:spacing w:line="560" w:lineRule="exact"/>
        <w:ind w:firstLine="560" w:firstLineChars="0"/>
        <w:jc w:val="left"/>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lang w:eastAsia="zh-CN"/>
        </w:rPr>
        <w:t>2</w:t>
      </w:r>
      <w:r>
        <w:rPr>
          <w:rFonts w:hint="eastAsia" w:ascii="仿宋_GB2312" w:hAnsi="仿宋_GB2312" w:eastAsia="仿宋_GB2312" w:cs="仿宋_GB2312"/>
          <w:b w:val="0"/>
          <w:sz w:val="28"/>
          <w:szCs w:val="28"/>
          <w:lang w:val="en-US" w:eastAsia="zh-CN"/>
        </w:rPr>
        <w:t>.1招标文件、</w:t>
      </w:r>
      <w:r>
        <w:rPr>
          <w:rFonts w:hint="eastAsia" w:ascii="仿宋_GB2312" w:hAnsi="仿宋_GB2312" w:eastAsia="仿宋_GB2312" w:cs="仿宋_GB2312"/>
          <w:b w:val="0"/>
          <w:sz w:val="28"/>
          <w:szCs w:val="28"/>
        </w:rPr>
        <w:t>本合同及附件文本；</w:t>
      </w:r>
    </w:p>
    <w:p w14:paraId="71418D4E">
      <w:pPr>
        <w:widowControl/>
        <w:numPr>
          <w:ilvl w:val="0"/>
          <w:numId w:val="0"/>
        </w:numPr>
        <w:spacing w:line="560" w:lineRule="exact"/>
        <w:ind w:firstLine="560" w:firstLineChars="0"/>
        <w:jc w:val="left"/>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lang w:val="en-US" w:eastAsia="zh-CN"/>
        </w:rPr>
        <w:t>2.2</w:t>
      </w:r>
      <w:r>
        <w:rPr>
          <w:rFonts w:hint="eastAsia" w:ascii="仿宋_GB2312" w:hAnsi="仿宋_GB2312" w:eastAsia="仿宋_GB2312" w:cs="仿宋_GB2312"/>
          <w:b w:val="0"/>
          <w:sz w:val="28"/>
          <w:szCs w:val="28"/>
        </w:rPr>
        <w:t>合同签订时国家及行业现行的标准和技术规范。</w:t>
      </w:r>
    </w:p>
    <w:p w14:paraId="717806D8">
      <w:pPr>
        <w:widowControl/>
        <w:numPr>
          <w:ilvl w:val="0"/>
          <w:numId w:val="0"/>
        </w:numPr>
        <w:spacing w:line="560" w:lineRule="exact"/>
        <w:ind w:firstLine="560" w:firstLineChars="0"/>
        <w:jc w:val="left"/>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2.</w:t>
      </w:r>
      <w:r>
        <w:rPr>
          <w:rFonts w:hint="eastAsia" w:ascii="仿宋_GB2312" w:hAnsi="仿宋_GB2312" w:eastAsia="仿宋_GB2312" w:cs="仿宋_GB2312"/>
          <w:kern w:val="2"/>
          <w:sz w:val="28"/>
          <w:szCs w:val="28"/>
          <w:lang w:eastAsia="zh-CN"/>
        </w:rPr>
        <w:t>3</w:t>
      </w:r>
      <w:r>
        <w:rPr>
          <w:rFonts w:hint="eastAsia" w:ascii="仿宋_GB2312" w:hAnsi="仿宋_GB2312" w:eastAsia="仿宋_GB2312" w:cs="仿宋_GB2312"/>
          <w:kern w:val="2"/>
          <w:sz w:val="28"/>
          <w:szCs w:val="28"/>
        </w:rPr>
        <w:t xml:space="preserve">乙方须保证所提供的产品质量可靠，进货渠道正常，配置合理，技术性能完全满足文件要求； </w:t>
      </w:r>
    </w:p>
    <w:p w14:paraId="4F12E937">
      <w:pPr>
        <w:widowControl/>
        <w:numPr>
          <w:ilvl w:val="0"/>
          <w:numId w:val="0"/>
        </w:numPr>
        <w:spacing w:line="560" w:lineRule="exact"/>
        <w:ind w:firstLine="560" w:firstLineChars="0"/>
        <w:jc w:val="left"/>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2.</w:t>
      </w:r>
      <w:r>
        <w:rPr>
          <w:rFonts w:hint="eastAsia" w:ascii="仿宋_GB2312" w:hAnsi="仿宋_GB2312" w:eastAsia="仿宋_GB2312" w:cs="仿宋_GB2312"/>
          <w:kern w:val="2"/>
          <w:sz w:val="28"/>
          <w:szCs w:val="28"/>
          <w:lang w:val="en-US" w:eastAsia="zh-CN"/>
        </w:rPr>
        <w:t>4</w:t>
      </w:r>
      <w:r>
        <w:rPr>
          <w:rFonts w:hint="eastAsia" w:ascii="仿宋_GB2312" w:hAnsi="仿宋_GB2312" w:eastAsia="仿宋_GB2312" w:cs="仿宋_GB2312"/>
          <w:kern w:val="2"/>
          <w:sz w:val="28"/>
          <w:szCs w:val="28"/>
        </w:rPr>
        <w:t>若产品有质量问题，由乙方负责解决并承担费用，且不得延期。（产品质量应符合国标标准和本合同附件的要求）</w:t>
      </w:r>
    </w:p>
    <w:p w14:paraId="6A85587C">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kern w:val="2"/>
          <w:sz w:val="28"/>
          <w:szCs w:val="28"/>
        </w:rPr>
        <w:t>2.</w:t>
      </w:r>
      <w:r>
        <w:rPr>
          <w:rFonts w:hint="eastAsia" w:ascii="仿宋_GB2312" w:hAnsi="仿宋_GB2312" w:eastAsia="仿宋_GB2312" w:cs="仿宋_GB2312"/>
          <w:kern w:val="2"/>
          <w:sz w:val="28"/>
          <w:szCs w:val="28"/>
          <w:lang w:eastAsia="zh-CN"/>
        </w:rPr>
        <w:t>5</w:t>
      </w:r>
      <w:r>
        <w:rPr>
          <w:rFonts w:hint="eastAsia" w:ascii="仿宋_GB2312" w:hAnsi="仿宋_GB2312" w:eastAsia="仿宋_GB2312" w:cs="仿宋_GB2312"/>
          <w:kern w:val="2"/>
          <w:sz w:val="28"/>
          <w:szCs w:val="28"/>
        </w:rPr>
        <w:t>按《中华人民共和国民法典》中的相关条款执行。</w:t>
      </w:r>
    </w:p>
    <w:p w14:paraId="6E06883C">
      <w:pPr>
        <w:widowControl/>
        <w:numPr>
          <w:ilvl w:val="0"/>
          <w:numId w:val="0"/>
        </w:numPr>
        <w:spacing w:line="560" w:lineRule="exact"/>
        <w:ind w:firstLine="560" w:firstLineChars="0"/>
        <w:jc w:val="left"/>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lang w:val="en-US" w:eastAsia="zh-CN"/>
        </w:rPr>
        <w:t>3.</w:t>
      </w:r>
      <w:r>
        <w:rPr>
          <w:rFonts w:hint="eastAsia" w:ascii="仿宋_GB2312" w:hAnsi="仿宋_GB2312" w:eastAsia="仿宋_GB2312" w:cs="仿宋_GB2312"/>
          <w:kern w:val="2"/>
          <w:sz w:val="28"/>
          <w:szCs w:val="28"/>
        </w:rPr>
        <w:t>验收时间。</w:t>
      </w:r>
    </w:p>
    <w:p w14:paraId="0A735FA8">
      <w:pPr>
        <w:widowControl/>
        <w:numPr>
          <w:ilvl w:val="0"/>
          <w:numId w:val="0"/>
        </w:numPr>
        <w:spacing w:line="560" w:lineRule="exact"/>
        <w:ind w:firstLine="560" w:firstLineChars="0"/>
        <w:jc w:val="left"/>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3.1在本项目实施部署完成后，乙方提供验收书面申请，甲方在接到通知后的七个工作日内需要组织验收并办理相关手续。</w:t>
      </w:r>
    </w:p>
    <w:p w14:paraId="06A9C64C">
      <w:pPr>
        <w:widowControl/>
        <w:numPr>
          <w:ilvl w:val="0"/>
          <w:numId w:val="0"/>
        </w:numPr>
        <w:spacing w:line="560" w:lineRule="exact"/>
        <w:ind w:firstLine="560" w:firstLineChars="0"/>
        <w:jc w:val="left"/>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3.2重新验收的约定：双方约定在首次验收未通过后，乙方有义务在规定的时间内完成整改，并重新申请验收。甲方有权再次组织验收，若经两次验收仍不合格，甲方有权单方面解除合同且不视为违约，合同自书面解除通知送达乙方之日起解除。</w:t>
      </w:r>
    </w:p>
    <w:p w14:paraId="2E7671D9">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3.3甲方出具加盖甲方公章的验收合格证书视为验收合格</w:t>
      </w:r>
    </w:p>
    <w:p w14:paraId="13527FBF">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4</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乙方向甲方提交服务实施过程中的所有资料。以便甲方日后管理和维护。</w:t>
      </w:r>
    </w:p>
    <w:p w14:paraId="5989CAEF">
      <w:pPr>
        <w:spacing w:line="560" w:lineRule="exact"/>
        <w:ind w:firstLine="562" w:firstLineChars="200"/>
        <w:rPr>
          <w:rFonts w:hint="eastAsia" w:ascii="仿宋_GB2312" w:hAnsi="仿宋_GB2312" w:eastAsia="仿宋_GB2312" w:cs="仿宋_GB2312"/>
          <w:b/>
          <w:bCs/>
          <w:color w:val="auto"/>
          <w:spacing w:val="0"/>
          <w:kern w:val="2"/>
          <w:sz w:val="28"/>
          <w:szCs w:val="28"/>
        </w:rPr>
      </w:pPr>
      <w:r>
        <w:rPr>
          <w:rFonts w:hint="eastAsia" w:ascii="仿宋_GB2312" w:hAnsi="仿宋_GB2312" w:eastAsia="仿宋_GB2312" w:cs="仿宋_GB2312"/>
          <w:b/>
          <w:bCs/>
          <w:color w:val="auto"/>
          <w:spacing w:val="0"/>
          <w:kern w:val="2"/>
          <w:sz w:val="28"/>
          <w:szCs w:val="28"/>
        </w:rPr>
        <w:t>八、违约责任</w:t>
      </w:r>
    </w:p>
    <w:p w14:paraId="5F5EC567">
      <w:pPr>
        <w:widowControl/>
        <w:tabs>
          <w:tab w:val="left" w:pos="0"/>
        </w:tabs>
        <w:adjustRightInd w:val="0"/>
        <w:snapToGrid w:val="0"/>
        <w:spacing w:line="560" w:lineRule="exact"/>
        <w:ind w:firstLine="280" w:firstLineChars="100"/>
        <w:jc w:val="left"/>
        <w:rPr>
          <w:rFonts w:ascii="仿宋_GB2312" w:hAnsi="仿宋" w:eastAsia="仿宋_GB2312" w:cs="仿宋"/>
          <w:sz w:val="28"/>
        </w:rPr>
      </w:pPr>
      <w:r>
        <w:rPr>
          <w:rFonts w:hint="eastAsia" w:ascii="仿宋_GB2312" w:hAnsi="仿宋" w:eastAsia="仿宋_GB2312" w:cs="仿宋"/>
          <w:sz w:val="28"/>
        </w:rPr>
        <w:t>1.按《中华人民共和国民法典》中的相关条款执行。</w:t>
      </w:r>
    </w:p>
    <w:p w14:paraId="07F40C38">
      <w:pPr>
        <w:widowControl/>
        <w:tabs>
          <w:tab w:val="left" w:pos="0"/>
        </w:tabs>
        <w:adjustRightInd w:val="0"/>
        <w:snapToGrid w:val="0"/>
        <w:spacing w:line="560" w:lineRule="exact"/>
        <w:ind w:firstLine="280" w:firstLineChars="100"/>
        <w:jc w:val="left"/>
        <w:rPr>
          <w:rFonts w:ascii="仿宋_GB2312" w:hAnsi="仿宋" w:eastAsia="仿宋_GB2312" w:cs="仿宋"/>
          <w:sz w:val="28"/>
        </w:rPr>
      </w:pPr>
      <w:r>
        <w:rPr>
          <w:rFonts w:hint="eastAsia" w:ascii="仿宋_GB2312" w:hAnsi="仿宋" w:eastAsia="仿宋_GB2312" w:cs="仿宋"/>
          <w:sz w:val="28"/>
        </w:rPr>
        <w:t>2.若乙方未按合同要求提供货物/服务或货物/服务质量不能满足投标响应文件技术要求</w:t>
      </w:r>
      <w:bookmarkStart w:id="0" w:name="OLE_LINK5"/>
      <w:bookmarkStart w:id="1" w:name="OLE_LINK6"/>
      <w:r>
        <w:rPr>
          <w:rFonts w:hint="eastAsia" w:ascii="仿宋_GB2312" w:hAnsi="仿宋" w:eastAsia="仿宋_GB2312" w:cs="仿宋"/>
          <w:sz w:val="28"/>
        </w:rPr>
        <w:t>，</w:t>
      </w:r>
      <w:bookmarkEnd w:id="0"/>
      <w:bookmarkEnd w:id="1"/>
      <w:r>
        <w:rPr>
          <w:rFonts w:hint="eastAsia" w:ascii="仿宋_GB2312" w:hAnsi="仿宋" w:eastAsia="仿宋_GB2312" w:cs="仿宋"/>
          <w:sz w:val="28"/>
        </w:rPr>
        <w:t>甲方有权要求在规定时间内免费调换或无偿整改，由此产生的一切费用由乙方承担，否则甲方有权解除合同，合同自甲方书面解除通知到达（即使拒收）乙方时解除，此外，乙方还应退还甲方已支付的全部合同价款，并应向甲方支付合同总价款30%的违约金。</w:t>
      </w:r>
    </w:p>
    <w:p w14:paraId="3C6111A6">
      <w:pPr>
        <w:widowControl/>
        <w:tabs>
          <w:tab w:val="left" w:pos="0"/>
        </w:tabs>
        <w:adjustRightInd w:val="0"/>
        <w:snapToGrid w:val="0"/>
        <w:spacing w:line="560" w:lineRule="exact"/>
        <w:ind w:firstLine="280" w:firstLineChars="100"/>
        <w:jc w:val="left"/>
        <w:rPr>
          <w:rFonts w:ascii="仿宋_GB2312" w:hAnsi="仿宋" w:eastAsia="仿宋_GB2312" w:cs="仿宋"/>
          <w:sz w:val="28"/>
        </w:rPr>
      </w:pPr>
      <w:r>
        <w:rPr>
          <w:rFonts w:hint="eastAsia" w:ascii="仿宋_GB2312" w:hAnsi="仿宋" w:eastAsia="仿宋_GB2312" w:cs="仿宋"/>
          <w:sz w:val="28"/>
        </w:rPr>
        <w:t>3.</w:t>
      </w:r>
      <w:r>
        <w:rPr>
          <w:rFonts w:hint="eastAsia" w:ascii="仿宋_GB2312" w:hAnsi="仿宋" w:eastAsia="仿宋_GB2312" w:cs="仿宋"/>
          <w:sz w:val="28"/>
          <w:lang w:val="en-US" w:eastAsia="zh-CN"/>
        </w:rPr>
        <w:t>因</w:t>
      </w:r>
      <w:r>
        <w:rPr>
          <w:rFonts w:hint="eastAsia" w:ascii="仿宋_GB2312" w:hAnsi="仿宋" w:eastAsia="仿宋_GB2312" w:cs="仿宋"/>
          <w:sz w:val="28"/>
        </w:rPr>
        <w:t>乙方原因导致乙方未能按照合同约定时间完成项目内容，从逾期之日起每日按合同总价款1%向甲方支付违约金；逾期达30日，甲方有权单方解除本合同，合同自甲方书面解除通知到达乙方时解除，并向甲方支付合同总价款30%作为违约金。</w:t>
      </w:r>
    </w:p>
    <w:p w14:paraId="085D35D5">
      <w:pPr>
        <w:widowControl/>
        <w:tabs>
          <w:tab w:val="left" w:pos="0"/>
        </w:tabs>
        <w:adjustRightInd w:val="0"/>
        <w:snapToGrid w:val="0"/>
        <w:spacing w:line="560" w:lineRule="exact"/>
        <w:ind w:firstLine="280" w:firstLineChars="100"/>
        <w:jc w:val="left"/>
        <w:rPr>
          <w:rFonts w:ascii="仿宋_GB2312" w:hAnsi="仿宋" w:eastAsia="仿宋_GB2312" w:cs="仿宋"/>
          <w:sz w:val="28"/>
        </w:rPr>
      </w:pPr>
      <w:r>
        <w:rPr>
          <w:rFonts w:hint="eastAsia" w:ascii="仿宋_GB2312" w:hAnsi="仿宋" w:eastAsia="仿宋_GB2312" w:cs="仿宋"/>
          <w:sz w:val="28"/>
        </w:rPr>
        <w:t>4.未经甲方同意，乙方不得擅自将本合同项目转包或分包第三方承担，否则向甲方支付合同总价款30%作为违约金。</w:t>
      </w:r>
    </w:p>
    <w:p w14:paraId="79B55A67">
      <w:pPr>
        <w:widowControl/>
        <w:numPr>
          <w:ilvl w:val="0"/>
          <w:numId w:val="0"/>
        </w:numPr>
        <w:spacing w:line="560" w:lineRule="exact"/>
        <w:ind w:firstLine="560" w:firstLineChars="0"/>
        <w:jc w:val="left"/>
        <w:rPr>
          <w:rFonts w:hint="eastAsia" w:ascii="仿宋_GB2312" w:hAnsi="仿宋_GB2312" w:eastAsia="仿宋_GB2312" w:cs="仿宋_GB2312"/>
          <w:b/>
          <w:bCs/>
          <w:color w:val="auto"/>
          <w:spacing w:val="0"/>
          <w:kern w:val="2"/>
          <w:sz w:val="28"/>
          <w:szCs w:val="28"/>
        </w:rPr>
      </w:pPr>
      <w:r>
        <w:rPr>
          <w:rFonts w:hint="eastAsia" w:ascii="仿宋_GB2312" w:hAnsi="仿宋" w:eastAsia="仿宋_GB2312" w:cs="仿宋"/>
          <w:sz w:val="28"/>
        </w:rPr>
        <w:t>5.因乙方违约行为导致的纠纷或者事故等，全部责任由乙方承担，因此给甲方造成损失的，应当全部赔偿。</w:t>
      </w:r>
    </w:p>
    <w:p w14:paraId="31C9F897">
      <w:pPr>
        <w:widowControl/>
        <w:numPr>
          <w:ilvl w:val="0"/>
          <w:numId w:val="0"/>
        </w:numPr>
        <w:spacing w:line="560" w:lineRule="exact"/>
        <w:ind w:firstLine="560" w:firstLineChars="0"/>
        <w:jc w:val="left"/>
        <w:rPr>
          <w:rFonts w:hint="eastAsia" w:ascii="仿宋_GB2312" w:hAnsi="仿宋_GB2312" w:eastAsia="仿宋_GB2312" w:cs="仿宋_GB2312"/>
          <w:b/>
          <w:bCs/>
          <w:color w:val="auto"/>
          <w:spacing w:val="0"/>
          <w:kern w:val="2"/>
          <w:sz w:val="28"/>
          <w:szCs w:val="28"/>
        </w:rPr>
      </w:pPr>
      <w:r>
        <w:rPr>
          <w:rFonts w:hint="eastAsia" w:ascii="仿宋_GB2312" w:hAnsi="仿宋_GB2312" w:eastAsia="仿宋_GB2312" w:cs="仿宋_GB2312"/>
          <w:b/>
          <w:bCs/>
          <w:color w:val="auto"/>
          <w:spacing w:val="0"/>
          <w:kern w:val="2"/>
          <w:sz w:val="28"/>
          <w:szCs w:val="28"/>
        </w:rPr>
        <w:t>九、保密条款</w:t>
      </w:r>
    </w:p>
    <w:p w14:paraId="5E11DA46">
      <w:pPr>
        <w:widowControl/>
        <w:numPr>
          <w:ilvl w:val="0"/>
          <w:numId w:val="0"/>
        </w:numPr>
        <w:spacing w:line="560" w:lineRule="exact"/>
        <w:ind w:firstLine="560" w:firstLineChars="0"/>
        <w:jc w:val="left"/>
        <w:rPr>
          <w:rFonts w:hint="eastAsia" w:ascii="仿宋_GB2312" w:hAnsi="仿宋_GB2312" w:eastAsia="仿宋_GB2312" w:cs="仿宋_GB2312"/>
          <w:bCs w:val="0"/>
          <w:color w:val="auto"/>
          <w:sz w:val="28"/>
          <w:szCs w:val="28"/>
        </w:rPr>
      </w:pPr>
      <w:r>
        <w:rPr>
          <w:rFonts w:hint="eastAsia" w:ascii="仿宋_GB2312" w:hAnsi="仿宋_GB2312" w:eastAsia="仿宋_GB2312" w:cs="仿宋_GB2312"/>
          <w:bCs w:val="0"/>
          <w:sz w:val="28"/>
          <w:szCs w:val="28"/>
          <w:lang w:eastAsia="zh-CN"/>
        </w:rPr>
        <w:t>1</w:t>
      </w:r>
      <w:r>
        <w:rPr>
          <w:rFonts w:hint="eastAsia" w:ascii="仿宋_GB2312" w:hAnsi="仿宋_GB2312" w:eastAsia="仿宋_GB2312" w:cs="仿宋_GB2312"/>
          <w:bCs w:val="0"/>
          <w:sz w:val="28"/>
          <w:szCs w:val="28"/>
          <w:lang w:val="en-US" w:eastAsia="zh-CN"/>
        </w:rPr>
        <w:t>.</w:t>
      </w:r>
      <w:r>
        <w:rPr>
          <w:rFonts w:hint="eastAsia" w:ascii="仿宋_GB2312" w:hAnsi="仿宋_GB2312" w:eastAsia="仿宋_GB2312" w:cs="仿宋_GB2312"/>
          <w:bCs w:val="0"/>
          <w:color w:val="auto"/>
          <w:sz w:val="28"/>
          <w:szCs w:val="28"/>
        </w:rPr>
        <w:t>乙方及其工作人员应遵守国家保密法律法规及规章制度，履行保密义务。工作人员自觉遵守保密审查，不违规记录、存储、复制工作秘密信息，不以任何方式泄露所接和知悉的工作秘密。未经对方书面许可，任何一方不得向第三方提供或者披露因本合同的签订和履行而得知的与对方业务有关的资料和信息，法律另有规定或本合同另有约定的除外。乙方向其关联公司提供或披露与甲方业务有关的资料和信息的，不受此限。</w:t>
      </w:r>
    </w:p>
    <w:p w14:paraId="311DD1C5">
      <w:pPr>
        <w:widowControl/>
        <w:numPr>
          <w:ilvl w:val="0"/>
          <w:numId w:val="0"/>
        </w:numPr>
        <w:spacing w:line="560" w:lineRule="exact"/>
        <w:ind w:firstLine="560" w:firstLineChars="0"/>
        <w:jc w:val="left"/>
        <w:rPr>
          <w:rFonts w:hint="eastAsia" w:ascii="仿宋_GB2312" w:hAnsi="仿宋_GB2312" w:eastAsia="仿宋_GB2312" w:cs="仿宋_GB2312"/>
          <w:bCs w:val="0"/>
          <w:color w:val="auto"/>
          <w:sz w:val="28"/>
          <w:szCs w:val="28"/>
        </w:rPr>
      </w:pPr>
      <w:r>
        <w:rPr>
          <w:rFonts w:hint="eastAsia" w:ascii="仿宋_GB2312" w:hAnsi="仿宋_GB2312" w:eastAsia="仿宋_GB2312" w:cs="仿宋_GB2312"/>
          <w:bCs w:val="0"/>
          <w:sz w:val="28"/>
          <w:szCs w:val="28"/>
          <w:lang w:eastAsia="zh-CN"/>
        </w:rPr>
        <w:t>2</w:t>
      </w:r>
      <w:r>
        <w:rPr>
          <w:rFonts w:hint="eastAsia" w:ascii="仿宋_GB2312" w:hAnsi="仿宋_GB2312" w:eastAsia="仿宋_GB2312" w:cs="仿宋_GB2312"/>
          <w:bCs w:val="0"/>
          <w:sz w:val="28"/>
          <w:szCs w:val="28"/>
          <w:lang w:val="en-US" w:eastAsia="zh-CN"/>
        </w:rPr>
        <w:t>.</w:t>
      </w:r>
      <w:r>
        <w:rPr>
          <w:rFonts w:hint="eastAsia" w:ascii="仿宋_GB2312" w:hAnsi="仿宋_GB2312" w:eastAsia="仿宋_GB2312" w:cs="仿宋_GB2312"/>
          <w:bCs w:val="0"/>
          <w:color w:val="auto"/>
          <w:sz w:val="28"/>
          <w:szCs w:val="28"/>
        </w:rPr>
        <w:t>本合同一方(“资料披露方”)对其向本合同另一方(“资料接受方”)按照本合同规定所提供的各类技术和商业资料、规格说明、图纸、文件及专有技术等 (以下简称“保密资料”)享有合法、完整的所有权。</w:t>
      </w:r>
    </w:p>
    <w:p w14:paraId="5135B7DE">
      <w:pPr>
        <w:widowControl/>
        <w:numPr>
          <w:ilvl w:val="0"/>
          <w:numId w:val="0"/>
        </w:numPr>
        <w:spacing w:line="560" w:lineRule="exact"/>
        <w:ind w:firstLine="560" w:firstLineChars="0"/>
        <w:jc w:val="left"/>
        <w:rPr>
          <w:rFonts w:hint="eastAsia" w:ascii="仿宋_GB2312" w:hAnsi="仿宋_GB2312" w:eastAsia="仿宋_GB2312" w:cs="仿宋_GB2312"/>
          <w:bCs w:val="0"/>
          <w:color w:val="auto"/>
          <w:sz w:val="28"/>
          <w:szCs w:val="28"/>
        </w:rPr>
      </w:pPr>
      <w:r>
        <w:rPr>
          <w:rFonts w:hint="eastAsia" w:ascii="仿宋_GB2312" w:hAnsi="仿宋_GB2312" w:eastAsia="仿宋_GB2312" w:cs="仿宋_GB2312"/>
          <w:bCs w:val="0"/>
          <w:sz w:val="28"/>
          <w:szCs w:val="28"/>
          <w:lang w:eastAsia="zh-CN"/>
        </w:rPr>
        <w:t>3</w:t>
      </w:r>
      <w:r>
        <w:rPr>
          <w:rFonts w:hint="eastAsia" w:ascii="仿宋_GB2312" w:hAnsi="仿宋_GB2312" w:eastAsia="仿宋_GB2312" w:cs="仿宋_GB2312"/>
          <w:bCs w:val="0"/>
          <w:sz w:val="28"/>
          <w:szCs w:val="28"/>
          <w:lang w:val="en-US" w:eastAsia="zh-CN"/>
        </w:rPr>
        <w:t>.</w:t>
      </w:r>
      <w:r>
        <w:rPr>
          <w:rFonts w:hint="eastAsia" w:ascii="仿宋_GB2312" w:hAnsi="仿宋_GB2312" w:eastAsia="仿宋_GB2312" w:cs="仿宋_GB2312"/>
          <w:bCs w:val="0"/>
          <w:color w:val="auto"/>
          <w:sz w:val="28"/>
          <w:szCs w:val="28"/>
        </w:rPr>
        <w:t>除本合同授权实施的行为外，资料接受方应将保密资料作为商业秘密予以保护，且不得将该保密资料任何部分或全部进行复制或向第三方（乙方关联公司除外）披露。资料接受方可仅为本合同的目的向其确有知悉必要的雇员披露对方提供的保密资料，但同时须指示其雇员遵守本条规定的保密及不披露义务。资料接受方应对根据本合同接受的保密资料妥善保管，向其提供不低于向接受方自有商业秘密提供的保护之保护。</w:t>
      </w:r>
    </w:p>
    <w:p w14:paraId="6F74958D">
      <w:pPr>
        <w:widowControl/>
        <w:numPr>
          <w:ilvl w:val="0"/>
          <w:numId w:val="0"/>
        </w:numPr>
        <w:spacing w:line="560" w:lineRule="exact"/>
        <w:ind w:firstLine="560" w:firstLineChars="0"/>
        <w:jc w:val="left"/>
        <w:rPr>
          <w:rFonts w:hint="eastAsia" w:ascii="仿宋_GB2312" w:hAnsi="仿宋_GB2312" w:eastAsia="仿宋_GB2312" w:cs="仿宋_GB2312"/>
          <w:bCs w:val="0"/>
          <w:color w:val="auto"/>
          <w:sz w:val="28"/>
          <w:szCs w:val="28"/>
        </w:rPr>
      </w:pPr>
      <w:r>
        <w:rPr>
          <w:rFonts w:hint="eastAsia" w:ascii="仿宋_GB2312" w:hAnsi="仿宋_GB2312" w:eastAsia="仿宋_GB2312" w:cs="仿宋_GB2312"/>
          <w:bCs w:val="0"/>
          <w:sz w:val="28"/>
          <w:szCs w:val="28"/>
          <w:lang w:eastAsia="zh-CN"/>
        </w:rPr>
        <w:t>4</w:t>
      </w:r>
      <w:r>
        <w:rPr>
          <w:rFonts w:hint="eastAsia" w:ascii="仿宋_GB2312" w:hAnsi="仿宋_GB2312" w:eastAsia="仿宋_GB2312" w:cs="仿宋_GB2312"/>
          <w:bCs w:val="0"/>
          <w:sz w:val="28"/>
          <w:szCs w:val="28"/>
          <w:lang w:val="en-US" w:eastAsia="zh-CN"/>
        </w:rPr>
        <w:t>.</w:t>
      </w:r>
      <w:r>
        <w:rPr>
          <w:rFonts w:hint="eastAsia" w:ascii="仿宋_GB2312" w:hAnsi="仿宋_GB2312" w:eastAsia="仿宋_GB2312" w:cs="仿宋_GB2312"/>
          <w:bCs w:val="0"/>
          <w:color w:val="auto"/>
          <w:sz w:val="28"/>
          <w:szCs w:val="28"/>
        </w:rPr>
        <w:t>当出现下述情况时，本条对保密资料的限制不适用。当保密资料：</w:t>
      </w:r>
    </w:p>
    <w:p w14:paraId="44837474">
      <w:pPr>
        <w:widowControl/>
        <w:numPr>
          <w:ilvl w:val="0"/>
          <w:numId w:val="0"/>
        </w:numPr>
        <w:spacing w:line="560" w:lineRule="exact"/>
        <w:ind w:firstLine="560" w:firstLineChars="0"/>
        <w:jc w:val="left"/>
        <w:rPr>
          <w:rFonts w:hint="eastAsia" w:ascii="仿宋_GB2312" w:hAnsi="仿宋_GB2312" w:eastAsia="仿宋_GB2312" w:cs="仿宋_GB2312"/>
          <w:bCs w:val="0"/>
          <w:color w:val="auto"/>
          <w:sz w:val="28"/>
          <w:szCs w:val="28"/>
        </w:rPr>
      </w:pPr>
      <w:r>
        <w:rPr>
          <w:rFonts w:hint="eastAsia" w:ascii="仿宋_GB2312" w:hAnsi="仿宋_GB2312" w:eastAsia="仿宋_GB2312" w:cs="仿宋_GB2312"/>
          <w:bCs w:val="0"/>
          <w:sz w:val="28"/>
          <w:szCs w:val="28"/>
          <w:lang w:eastAsia="zh-CN"/>
        </w:rPr>
        <w:t>4</w:t>
      </w:r>
      <w:r>
        <w:rPr>
          <w:rFonts w:hint="eastAsia" w:ascii="仿宋_GB2312" w:hAnsi="仿宋_GB2312" w:eastAsia="仿宋_GB2312" w:cs="仿宋_GB2312"/>
          <w:bCs w:val="0"/>
          <w:sz w:val="28"/>
          <w:szCs w:val="28"/>
          <w:lang w:val="en-US" w:eastAsia="zh-CN"/>
        </w:rPr>
        <w:t>.1</w:t>
      </w:r>
      <w:r>
        <w:rPr>
          <w:rFonts w:hint="eastAsia" w:ascii="仿宋_GB2312" w:hAnsi="仿宋_GB2312" w:eastAsia="仿宋_GB2312" w:cs="仿宋_GB2312"/>
          <w:bCs w:val="0"/>
          <w:color w:val="auto"/>
          <w:sz w:val="28"/>
          <w:szCs w:val="28"/>
        </w:rPr>
        <w:t>并非因资料接受方的过错而已经进入公有领域的；</w:t>
      </w:r>
    </w:p>
    <w:p w14:paraId="19E01DCC">
      <w:pPr>
        <w:widowControl/>
        <w:numPr>
          <w:ilvl w:val="0"/>
          <w:numId w:val="0"/>
        </w:numPr>
        <w:spacing w:line="560" w:lineRule="exact"/>
        <w:ind w:firstLine="560" w:firstLineChars="0"/>
        <w:jc w:val="left"/>
        <w:rPr>
          <w:rFonts w:hint="eastAsia" w:ascii="仿宋_GB2312" w:hAnsi="仿宋_GB2312" w:eastAsia="仿宋_GB2312" w:cs="仿宋_GB2312"/>
          <w:bCs w:val="0"/>
          <w:color w:val="auto"/>
          <w:sz w:val="28"/>
          <w:szCs w:val="28"/>
        </w:rPr>
      </w:pPr>
      <w:r>
        <w:rPr>
          <w:rFonts w:hint="eastAsia" w:ascii="仿宋_GB2312" w:hAnsi="仿宋_GB2312" w:eastAsia="仿宋_GB2312" w:cs="仿宋_GB2312"/>
          <w:bCs w:val="0"/>
          <w:sz w:val="28"/>
          <w:szCs w:val="28"/>
          <w:lang w:val="en-US" w:eastAsia="zh-CN"/>
        </w:rPr>
        <w:t>4.2</w:t>
      </w:r>
      <w:r>
        <w:rPr>
          <w:rFonts w:hint="eastAsia" w:ascii="仿宋_GB2312" w:hAnsi="仿宋_GB2312" w:eastAsia="仿宋_GB2312" w:cs="仿宋_GB2312"/>
          <w:bCs w:val="0"/>
          <w:color w:val="auto"/>
          <w:sz w:val="28"/>
          <w:szCs w:val="28"/>
        </w:rPr>
        <w:t>已通过该方的有关记录证明是由资料接受方独立开发的；</w:t>
      </w:r>
    </w:p>
    <w:p w14:paraId="5B5AE80E">
      <w:pPr>
        <w:widowControl/>
        <w:numPr>
          <w:ilvl w:val="0"/>
          <w:numId w:val="0"/>
        </w:numPr>
        <w:spacing w:line="560" w:lineRule="exact"/>
        <w:ind w:firstLine="560" w:firstLineChars="0"/>
        <w:jc w:val="left"/>
        <w:rPr>
          <w:rFonts w:hint="eastAsia" w:ascii="仿宋_GB2312" w:hAnsi="仿宋_GB2312" w:eastAsia="仿宋_GB2312" w:cs="仿宋_GB2312"/>
          <w:bCs w:val="0"/>
          <w:color w:val="auto"/>
          <w:sz w:val="28"/>
          <w:szCs w:val="28"/>
        </w:rPr>
      </w:pPr>
      <w:r>
        <w:rPr>
          <w:rFonts w:hint="eastAsia" w:ascii="仿宋_GB2312" w:hAnsi="仿宋_GB2312" w:eastAsia="仿宋_GB2312" w:cs="仿宋_GB2312"/>
          <w:bCs w:val="0"/>
          <w:sz w:val="28"/>
          <w:szCs w:val="28"/>
          <w:lang w:eastAsia="zh-CN"/>
        </w:rPr>
        <w:t>4</w:t>
      </w:r>
      <w:r>
        <w:rPr>
          <w:rFonts w:hint="eastAsia" w:ascii="仿宋_GB2312" w:hAnsi="仿宋_GB2312" w:eastAsia="仿宋_GB2312" w:cs="仿宋_GB2312"/>
          <w:bCs w:val="0"/>
          <w:sz w:val="28"/>
          <w:szCs w:val="28"/>
          <w:lang w:val="en-US" w:eastAsia="zh-CN"/>
        </w:rPr>
        <w:t>.3</w:t>
      </w:r>
      <w:r>
        <w:rPr>
          <w:rFonts w:hint="eastAsia" w:ascii="仿宋_GB2312" w:hAnsi="仿宋_GB2312" w:eastAsia="仿宋_GB2312" w:cs="仿宋_GB2312"/>
          <w:bCs w:val="0"/>
          <w:color w:val="auto"/>
          <w:sz w:val="28"/>
          <w:szCs w:val="28"/>
        </w:rPr>
        <w:t>由资料接受方从没有违反对资料披露方的保密义务的人处取得；</w:t>
      </w:r>
    </w:p>
    <w:p w14:paraId="28210825">
      <w:pPr>
        <w:widowControl/>
        <w:numPr>
          <w:ilvl w:val="0"/>
          <w:numId w:val="0"/>
        </w:numPr>
        <w:spacing w:line="560" w:lineRule="exact"/>
        <w:ind w:firstLine="560" w:firstLineChars="0"/>
        <w:jc w:val="left"/>
        <w:rPr>
          <w:rFonts w:hint="eastAsia" w:ascii="仿宋_GB2312" w:hAnsi="仿宋_GB2312" w:eastAsia="仿宋_GB2312" w:cs="仿宋_GB2312"/>
          <w:bCs w:val="0"/>
          <w:color w:val="auto"/>
          <w:sz w:val="28"/>
          <w:szCs w:val="28"/>
        </w:rPr>
      </w:pPr>
      <w:r>
        <w:rPr>
          <w:rFonts w:hint="eastAsia" w:ascii="仿宋_GB2312" w:hAnsi="仿宋_GB2312" w:eastAsia="仿宋_GB2312" w:cs="仿宋_GB2312"/>
          <w:bCs w:val="0"/>
          <w:sz w:val="28"/>
          <w:szCs w:val="28"/>
          <w:lang w:val="en-US" w:eastAsia="zh-CN"/>
        </w:rPr>
        <w:t>4.4</w:t>
      </w:r>
      <w:r>
        <w:rPr>
          <w:rFonts w:hint="eastAsia" w:ascii="仿宋_GB2312" w:hAnsi="仿宋_GB2312" w:eastAsia="仿宋_GB2312" w:cs="仿宋_GB2312"/>
          <w:bCs w:val="0"/>
          <w:color w:val="auto"/>
          <w:sz w:val="28"/>
          <w:szCs w:val="28"/>
        </w:rPr>
        <w:t>法律要求资料接受方披露的，但资料接受方应在合理的时间提前通知资料披露方，使其得以采取其认为必要的保护措施。</w:t>
      </w:r>
    </w:p>
    <w:p w14:paraId="1DDAD2A4">
      <w:pPr>
        <w:widowControl/>
        <w:numPr>
          <w:ilvl w:val="0"/>
          <w:numId w:val="0"/>
        </w:numPr>
        <w:spacing w:line="560" w:lineRule="exact"/>
        <w:ind w:firstLine="560" w:firstLineChars="0"/>
        <w:jc w:val="left"/>
        <w:rPr>
          <w:rFonts w:hint="eastAsia" w:ascii="仿宋_GB2312" w:hAnsi="仿宋_GB2312" w:eastAsia="仿宋_GB2312" w:cs="仿宋_GB2312"/>
          <w:bCs w:val="0"/>
          <w:color w:val="auto"/>
          <w:sz w:val="28"/>
          <w:szCs w:val="28"/>
        </w:rPr>
      </w:pPr>
      <w:r>
        <w:rPr>
          <w:rFonts w:hint="eastAsia" w:ascii="仿宋_GB2312" w:hAnsi="仿宋_GB2312" w:eastAsia="仿宋_GB2312" w:cs="仿宋_GB2312"/>
          <w:bCs w:val="0"/>
          <w:sz w:val="28"/>
          <w:szCs w:val="28"/>
          <w:lang w:eastAsia="zh-CN"/>
        </w:rPr>
        <w:t>5</w:t>
      </w:r>
      <w:r>
        <w:rPr>
          <w:rFonts w:hint="eastAsia" w:ascii="仿宋_GB2312" w:hAnsi="仿宋_GB2312" w:eastAsia="仿宋_GB2312" w:cs="仿宋_GB2312"/>
          <w:bCs w:val="0"/>
          <w:sz w:val="28"/>
          <w:szCs w:val="28"/>
          <w:lang w:val="en-US" w:eastAsia="zh-CN"/>
        </w:rPr>
        <w:t>.</w:t>
      </w:r>
      <w:r>
        <w:rPr>
          <w:rFonts w:hint="eastAsia" w:ascii="仿宋_GB2312" w:hAnsi="仿宋_GB2312" w:eastAsia="仿宋_GB2312" w:cs="仿宋_GB2312"/>
          <w:bCs w:val="0"/>
          <w:color w:val="auto"/>
          <w:sz w:val="28"/>
          <w:szCs w:val="28"/>
        </w:rPr>
        <w:t>本合同保密期限为自本合同生效之日起至本合同终止、解除后[</w:t>
      </w:r>
      <w:r>
        <w:rPr>
          <w:rFonts w:hint="eastAsia" w:ascii="仿宋_GB2312" w:hAnsi="仿宋_GB2312" w:eastAsia="仿宋_GB2312" w:cs="仿宋_GB2312"/>
          <w:bCs w:val="0"/>
          <w:sz w:val="28"/>
          <w:szCs w:val="28"/>
          <w:lang w:val="en-US" w:eastAsia="zh-CN"/>
        </w:rPr>
        <w:t>5</w:t>
      </w:r>
      <w:r>
        <w:rPr>
          <w:rFonts w:hint="eastAsia" w:ascii="仿宋_GB2312" w:hAnsi="仿宋_GB2312" w:eastAsia="仿宋_GB2312" w:cs="仿宋_GB2312"/>
          <w:bCs w:val="0"/>
          <w:color w:val="auto"/>
          <w:sz w:val="28"/>
          <w:szCs w:val="28"/>
        </w:rPr>
        <w:t>]年。</w:t>
      </w:r>
    </w:p>
    <w:p w14:paraId="0C8A863F">
      <w:pPr>
        <w:widowControl/>
        <w:numPr>
          <w:ilvl w:val="0"/>
          <w:numId w:val="0"/>
        </w:numPr>
        <w:spacing w:line="560" w:lineRule="exact"/>
        <w:ind w:firstLine="560" w:firstLineChars="0"/>
        <w:jc w:val="left"/>
        <w:rPr>
          <w:rFonts w:hint="eastAsia" w:ascii="仿宋_GB2312" w:hAnsi="仿宋_GB2312" w:eastAsia="仿宋_GB2312" w:cs="仿宋_GB2312"/>
          <w:b/>
          <w:bCs/>
          <w:color w:val="auto"/>
          <w:spacing w:val="0"/>
          <w:kern w:val="2"/>
          <w:sz w:val="28"/>
          <w:szCs w:val="28"/>
        </w:rPr>
      </w:pPr>
      <w:r>
        <w:rPr>
          <w:rFonts w:hint="eastAsia" w:ascii="仿宋_GB2312" w:hAnsi="仿宋_GB2312" w:eastAsia="仿宋_GB2312" w:cs="仿宋_GB2312"/>
          <w:b/>
          <w:bCs/>
          <w:color w:val="auto"/>
          <w:spacing w:val="0"/>
          <w:kern w:val="2"/>
          <w:sz w:val="28"/>
          <w:szCs w:val="28"/>
        </w:rPr>
        <w:t>十、争议解决</w:t>
      </w:r>
    </w:p>
    <w:p w14:paraId="73B81968">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本合同在履行过程中发生的争议，由甲、乙双方当事人协商解决，协商不成的按下列第</w:t>
      </w:r>
      <w:r>
        <w:rPr>
          <w:rFonts w:hint="eastAsia" w:ascii="仿宋_GB2312" w:hAnsi="仿宋_GB2312" w:eastAsia="仿宋_GB2312" w:cs="仿宋_GB2312"/>
          <w:sz w:val="28"/>
          <w:szCs w:val="28"/>
          <w:u w:val="none"/>
        </w:rPr>
        <w:t>2</w:t>
      </w:r>
      <w:r>
        <w:rPr>
          <w:rFonts w:hint="eastAsia" w:ascii="仿宋_GB2312" w:hAnsi="仿宋_GB2312" w:eastAsia="仿宋_GB2312" w:cs="仿宋_GB2312"/>
          <w:sz w:val="28"/>
          <w:szCs w:val="28"/>
        </w:rPr>
        <w:t>种方式解决：</w:t>
      </w:r>
    </w:p>
    <w:p w14:paraId="6C0B555C">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提交西安仲裁委员会仲裁；</w:t>
      </w:r>
    </w:p>
    <w:p w14:paraId="1339BFE0">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依法向甲方所在地人民法院起诉。</w:t>
      </w:r>
    </w:p>
    <w:p w14:paraId="529456F1">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本条款为独立条款，本合同的无效、变更、解除和终止均不影响本条款的效力。</w:t>
      </w:r>
    </w:p>
    <w:p w14:paraId="00FF5A8B">
      <w:pPr>
        <w:widowControl/>
        <w:numPr>
          <w:ilvl w:val="0"/>
          <w:numId w:val="0"/>
        </w:numPr>
        <w:spacing w:line="560" w:lineRule="exact"/>
        <w:ind w:firstLine="560" w:firstLineChars="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color w:val="auto"/>
          <w:spacing w:val="0"/>
          <w:kern w:val="2"/>
          <w:sz w:val="28"/>
          <w:szCs w:val="28"/>
        </w:rPr>
        <w:t>十一、不可抗力及免责</w:t>
      </w:r>
    </w:p>
    <w:p w14:paraId="0098DDFC">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如由于战争、骚乱、恐怖主义、自然灾害、国家法律法规或规章变动、网络安全、网络无法覆盖、停电、通信线路被人为破坏，导致甲乙双方或一方不能履行或不能完全履行本合同项下有关义务时，受影响方不承担违约责任，但应于该等情形发生后[十五]日内将情况告知对方，并提供有关部门的证明。在影响消除后的合理时间内，一方或双方应当继续履行合同。如因此导致合同不能或者没有必要继续履行的，本合同可协商解除。</w:t>
      </w:r>
    </w:p>
    <w:p w14:paraId="264E0DCA">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如政府管理部门提出要求的，乙方将暂停或终止提供相应服务，且不承担任何责任，未提供服务部分费用应予以退回。</w:t>
      </w:r>
    </w:p>
    <w:p w14:paraId="75D76789">
      <w:pPr>
        <w:widowControl/>
        <w:numPr>
          <w:ilvl w:val="0"/>
          <w:numId w:val="0"/>
        </w:numPr>
        <w:spacing w:line="560" w:lineRule="exact"/>
        <w:ind w:firstLine="560" w:firstLineChars="0"/>
        <w:jc w:val="left"/>
        <w:rPr>
          <w:rFonts w:hint="eastAsia" w:ascii="仿宋_GB2312" w:hAnsi="仿宋_GB2312" w:eastAsia="仿宋_GB2312" w:cs="仿宋_GB2312"/>
          <w:b/>
          <w:bCs/>
          <w:color w:val="auto"/>
          <w:spacing w:val="0"/>
          <w:kern w:val="2"/>
          <w:sz w:val="28"/>
          <w:szCs w:val="28"/>
        </w:rPr>
      </w:pPr>
      <w:r>
        <w:rPr>
          <w:rFonts w:hint="eastAsia" w:ascii="仿宋_GB2312" w:hAnsi="仿宋_GB2312" w:eastAsia="仿宋_GB2312" w:cs="仿宋_GB2312"/>
          <w:b/>
          <w:bCs/>
          <w:color w:val="auto"/>
          <w:spacing w:val="0"/>
          <w:kern w:val="2"/>
          <w:sz w:val="28"/>
          <w:szCs w:val="28"/>
        </w:rPr>
        <w:t>十二、合同生效</w:t>
      </w:r>
    </w:p>
    <w:p w14:paraId="12556B15">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本合同一式</w:t>
      </w:r>
      <w:r>
        <w:rPr>
          <w:rFonts w:hint="eastAsia" w:ascii="仿宋_GB2312" w:hAnsi="仿宋_GB2312" w:eastAsia="仿宋_GB2312" w:cs="仿宋_GB2312"/>
          <w:sz w:val="28"/>
          <w:szCs w:val="28"/>
          <w:u w:val="none"/>
          <w:lang w:val="en-US" w:eastAsia="zh-CN"/>
        </w:rPr>
        <w:t>陆</w:t>
      </w:r>
      <w:r>
        <w:rPr>
          <w:rFonts w:hint="eastAsia" w:ascii="仿宋_GB2312" w:hAnsi="仿宋_GB2312" w:eastAsia="仿宋_GB2312" w:cs="仿宋_GB2312"/>
          <w:sz w:val="28"/>
          <w:szCs w:val="28"/>
        </w:rPr>
        <w:t>份，甲方持</w:t>
      </w:r>
      <w:r>
        <w:rPr>
          <w:rFonts w:hint="eastAsia" w:ascii="仿宋_GB2312" w:hAnsi="仿宋_GB2312" w:eastAsia="仿宋_GB2312" w:cs="仿宋_GB2312"/>
          <w:sz w:val="28"/>
          <w:szCs w:val="28"/>
          <w:u w:val="none"/>
        </w:rPr>
        <w:t>肆</w:t>
      </w:r>
      <w:r>
        <w:rPr>
          <w:rFonts w:hint="eastAsia" w:ascii="仿宋_GB2312" w:hAnsi="仿宋_GB2312" w:eastAsia="仿宋_GB2312" w:cs="仿宋_GB2312"/>
          <w:sz w:val="28"/>
          <w:szCs w:val="28"/>
        </w:rPr>
        <w:t>份，乙方持</w:t>
      </w:r>
      <w:r>
        <w:rPr>
          <w:rFonts w:hint="eastAsia" w:ascii="仿宋_GB2312" w:hAnsi="仿宋_GB2312" w:eastAsia="仿宋_GB2312" w:cs="仿宋_GB2312"/>
          <w:sz w:val="28"/>
          <w:szCs w:val="28"/>
          <w:u w:val="none"/>
        </w:rPr>
        <w:t>贰</w:t>
      </w:r>
      <w:r>
        <w:rPr>
          <w:rFonts w:hint="eastAsia" w:ascii="仿宋_GB2312" w:hAnsi="仿宋_GB2312" w:eastAsia="仿宋_GB2312" w:cs="仿宋_GB2312"/>
          <w:sz w:val="28"/>
          <w:szCs w:val="28"/>
        </w:rPr>
        <w:t>份，本合同甲、乙双方签字盖章后生效。</w:t>
      </w:r>
    </w:p>
    <w:p w14:paraId="098B86B8">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如果本合同的任何条款在任何时候变成不合法、无效或不可强制执行而不从根本上影响本合同的效力时，本合同的其他条款不受影响。</w:t>
      </w:r>
    </w:p>
    <w:p w14:paraId="5D7BA637">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除本合同另有约定外，未经甲乙双方书面确认，任何一方不得自行变更或修改本合同。</w:t>
      </w:r>
    </w:p>
    <w:p w14:paraId="58AEC77B">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4</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14:paraId="25D73722">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5</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双方同意，附件为本合同不可分割的部分。若附件与合同正文有任何冲突，以合同正文为准。</w:t>
      </w:r>
    </w:p>
    <w:p w14:paraId="00459412">
      <w:pPr>
        <w:widowControl/>
        <w:numPr>
          <w:ilvl w:val="0"/>
          <w:numId w:val="0"/>
        </w:numPr>
        <w:spacing w:line="560" w:lineRule="exact"/>
        <w:ind w:firstLine="560" w:firstLineChars="0"/>
        <w:jc w:val="left"/>
        <w:rPr>
          <w:rFonts w:hint="eastAsia" w:ascii="仿宋_GB2312" w:hAnsi="仿宋_GB2312" w:eastAsia="仿宋_GB2312" w:cs="仿宋_GB2312"/>
          <w:b/>
          <w:bCs/>
          <w:color w:val="auto"/>
          <w:spacing w:val="0"/>
          <w:kern w:val="2"/>
          <w:sz w:val="28"/>
          <w:szCs w:val="28"/>
        </w:rPr>
      </w:pPr>
      <w:r>
        <w:rPr>
          <w:rFonts w:hint="eastAsia" w:ascii="仿宋_GB2312" w:hAnsi="仿宋_GB2312" w:eastAsia="仿宋_GB2312" w:cs="仿宋_GB2312"/>
          <w:b/>
          <w:bCs/>
          <w:color w:val="auto"/>
          <w:spacing w:val="0"/>
          <w:kern w:val="2"/>
          <w:sz w:val="28"/>
          <w:szCs w:val="28"/>
        </w:rPr>
        <w:t>十三、其他事项</w:t>
      </w:r>
    </w:p>
    <w:p w14:paraId="4E30C27B">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合同附件均成为合同不可分割的部分。</w:t>
      </w:r>
    </w:p>
    <w:p w14:paraId="6E176ABD">
      <w:pPr>
        <w:widowControl/>
        <w:numPr>
          <w:ilvl w:val="0"/>
          <w:numId w:val="0"/>
        </w:numPr>
        <w:spacing w:line="560" w:lineRule="exact"/>
        <w:ind w:firstLine="56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合同未尽事宜，由甲、乙双方协商补充合同，与原合同具有同等法律效力。</w:t>
      </w:r>
    </w:p>
    <w:p w14:paraId="2E8D0D61">
      <w:pPr>
        <w:widowControl/>
        <w:numPr>
          <w:ilvl w:val="0"/>
          <w:numId w:val="0"/>
        </w:numPr>
        <w:spacing w:line="560" w:lineRule="exact"/>
        <w:ind w:firstLine="560" w:firstLineChars="0"/>
        <w:jc w:val="left"/>
        <w:rPr>
          <w:rFonts w:hint="eastAsia" w:ascii="仿宋_GB2312" w:hAnsi="仿宋_GB2312" w:eastAsia="仿宋_GB2312" w:cs="仿宋_GB2312"/>
          <w:color w:val="auto"/>
          <w:spacing w:val="0"/>
          <w:kern w:val="2"/>
          <w:sz w:val="28"/>
          <w:szCs w:val="28"/>
        </w:rPr>
      </w:pPr>
    </w:p>
    <w:p w14:paraId="013FDCAB">
      <w:pPr>
        <w:tabs>
          <w:tab w:val="left" w:pos="480"/>
        </w:tabs>
        <w:spacing w:line="276" w:lineRule="auto"/>
        <w:rPr>
          <w:rFonts w:hint="eastAsia"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------------------------------以下无正文-----------------------------------</w:t>
      </w:r>
    </w:p>
    <w:p w14:paraId="4CC1C310">
      <w:pPr>
        <w:widowControl/>
        <w:numPr>
          <w:ilvl w:val="0"/>
          <w:numId w:val="0"/>
        </w:numPr>
        <w:spacing w:line="560" w:lineRule="exact"/>
        <w:ind w:firstLine="560"/>
        <w:jc w:val="left"/>
      </w:pPr>
      <w:r>
        <w:rPr>
          <w:rFonts w:hint="eastAsia" w:ascii="仿宋_GB2312" w:hAnsi="仿宋_GB2312" w:eastAsia="仿宋_GB2312" w:cs="仿宋_GB2312"/>
          <w:color w:val="auto"/>
          <w:spacing w:val="0"/>
          <w:kern w:val="2"/>
          <w:sz w:val="28"/>
          <w:szCs w:val="28"/>
        </w:rPr>
        <w:br w:type="page"/>
      </w:r>
      <w:r>
        <w:rPr>
          <w:rFonts w:hint="default" w:ascii="Times New Roman" w:hAnsi="Times New Roman" w:cs="Times New Roman"/>
          <w:color w:val="auto"/>
          <w:spacing w:val="0"/>
          <w:kern w:val="2"/>
          <w:sz w:val="21"/>
        </w:rPr>
        <w:t>（合同签署页）</w:t>
      </w:r>
    </w:p>
    <w:tbl>
      <w:tblPr>
        <w:tblStyle w:val="7"/>
        <w:tblW w:w="48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6"/>
        <w:gridCol w:w="4159"/>
      </w:tblGrid>
      <w:tr w14:paraId="199C9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486" w:type="pct"/>
            <w:tcBorders>
              <w:top w:val="single" w:color="auto" w:sz="4" w:space="0"/>
              <w:left w:val="single" w:color="auto" w:sz="4" w:space="0"/>
              <w:bottom w:val="single" w:color="auto" w:sz="4" w:space="0"/>
              <w:right w:val="single" w:color="auto" w:sz="4" w:space="0"/>
            </w:tcBorders>
            <w:noWrap/>
          </w:tcPr>
          <w:p w14:paraId="28C2B821">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甲  方</w:t>
            </w:r>
          </w:p>
        </w:tc>
        <w:tc>
          <w:tcPr>
            <w:tcW w:w="2513" w:type="pct"/>
            <w:tcBorders>
              <w:top w:val="single" w:color="auto" w:sz="4" w:space="0"/>
              <w:left w:val="single" w:color="auto" w:sz="4" w:space="0"/>
              <w:bottom w:val="single" w:color="auto" w:sz="4" w:space="0"/>
              <w:right w:val="single" w:color="auto" w:sz="4" w:space="0"/>
            </w:tcBorders>
            <w:noWrap/>
          </w:tcPr>
          <w:p w14:paraId="618523C9">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乙  方</w:t>
            </w:r>
          </w:p>
        </w:tc>
      </w:tr>
      <w:tr w14:paraId="2C68E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2486" w:type="pct"/>
            <w:tcBorders>
              <w:top w:val="single" w:color="auto" w:sz="4" w:space="0"/>
              <w:left w:val="single" w:color="auto" w:sz="4" w:space="0"/>
              <w:bottom w:val="single" w:color="auto" w:sz="4" w:space="0"/>
              <w:right w:val="single" w:color="auto" w:sz="4" w:space="0"/>
            </w:tcBorders>
            <w:noWrap/>
            <w:vAlign w:val="center"/>
          </w:tcPr>
          <w:p w14:paraId="655B5843">
            <w:pPr>
              <w:autoSpaceDE/>
              <w:autoSpaceDN/>
              <w:adjustRightInd/>
              <w:spacing w:line="240" w:lineRule="auto"/>
              <w:jc w:val="left"/>
              <w:rPr>
                <w:rFonts w:ascii="Times New Roman" w:hAnsi="Times New Roman" w:cs="Times New Roman"/>
                <w:sz w:val="21"/>
              </w:rPr>
            </w:pPr>
            <w:r>
              <w:rPr>
                <w:rFonts w:hint="default" w:ascii="Times New Roman" w:hAnsi="Times New Roman" w:cs="Times New Roman"/>
                <w:sz w:val="21"/>
              </w:rPr>
              <w:t>西安市儿童医院</w:t>
            </w:r>
          </w:p>
          <w:p w14:paraId="24D5362F">
            <w:pPr>
              <w:autoSpaceDE/>
              <w:autoSpaceDN/>
              <w:adjustRightInd/>
              <w:spacing w:line="240" w:lineRule="auto"/>
              <w:ind w:firstLine="0" w:firstLineChars="0"/>
              <w:jc w:val="left"/>
              <w:rPr>
                <w:rFonts w:ascii="Times New Roman" w:hAnsi="Times New Roman" w:cs="Times New Roman"/>
                <w:spacing w:val="0"/>
                <w:kern w:val="2"/>
                <w:sz w:val="21"/>
              </w:rPr>
            </w:pPr>
            <w:r>
              <w:rPr>
                <w:rFonts w:hint="default" w:ascii="Times New Roman" w:hAnsi="Times New Roman" w:cs="Times New Roman"/>
                <w:spacing w:val="0"/>
                <w:kern w:val="2"/>
                <w:sz w:val="21"/>
              </w:rPr>
              <w:t>（盖章）</w:t>
            </w:r>
          </w:p>
        </w:tc>
        <w:tc>
          <w:tcPr>
            <w:tcW w:w="2513" w:type="pct"/>
            <w:tcBorders>
              <w:top w:val="single" w:color="auto" w:sz="4" w:space="0"/>
              <w:left w:val="single" w:color="auto" w:sz="4" w:space="0"/>
              <w:bottom w:val="single" w:color="auto" w:sz="4" w:space="0"/>
              <w:right w:val="single" w:color="auto" w:sz="4" w:space="0"/>
            </w:tcBorders>
            <w:noWrap/>
            <w:vAlign w:val="center"/>
          </w:tcPr>
          <w:p w14:paraId="3D05776D">
            <w:pPr>
              <w:autoSpaceDE/>
              <w:autoSpaceDN/>
              <w:adjustRightInd/>
              <w:spacing w:line="240" w:lineRule="auto"/>
              <w:jc w:val="left"/>
              <w:rPr>
                <w:rFonts w:ascii="Times New Roman" w:hAnsi="Times New Roman" w:cs="Times New Roman"/>
                <w:spacing w:val="0"/>
                <w:kern w:val="2"/>
                <w:sz w:val="21"/>
              </w:rPr>
            </w:pPr>
            <w:r>
              <w:rPr>
                <w:rFonts w:hint="default" w:ascii="Times New Roman" w:hAnsi="Times New Roman" w:cs="Times New Roman"/>
                <w:spacing w:val="0"/>
                <w:kern w:val="2"/>
                <w:sz w:val="21"/>
              </w:rPr>
              <w:t>（盖章）</w:t>
            </w:r>
          </w:p>
        </w:tc>
      </w:tr>
      <w:tr w14:paraId="62F23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2486" w:type="pct"/>
            <w:tcBorders>
              <w:top w:val="single" w:color="auto" w:sz="4" w:space="0"/>
              <w:left w:val="single" w:color="auto" w:sz="4" w:space="0"/>
              <w:bottom w:val="single" w:color="auto" w:sz="4" w:space="0"/>
              <w:right w:val="single" w:color="auto" w:sz="4" w:space="0"/>
            </w:tcBorders>
            <w:noWrap/>
          </w:tcPr>
          <w:p w14:paraId="3D5FFAFA">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地址： 西安市莲湖区西举院巷69号</w:t>
            </w:r>
          </w:p>
        </w:tc>
        <w:tc>
          <w:tcPr>
            <w:tcW w:w="2513" w:type="pct"/>
            <w:tcBorders>
              <w:top w:val="single" w:color="auto" w:sz="4" w:space="0"/>
              <w:left w:val="single" w:color="auto" w:sz="4" w:space="0"/>
              <w:bottom w:val="single" w:color="auto" w:sz="4" w:space="0"/>
              <w:right w:val="single" w:color="auto" w:sz="4" w:space="0"/>
            </w:tcBorders>
            <w:noWrap/>
          </w:tcPr>
          <w:p w14:paraId="437020E9">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地址：</w:t>
            </w:r>
          </w:p>
        </w:tc>
      </w:tr>
      <w:tr w14:paraId="1441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2486" w:type="pct"/>
            <w:tcBorders>
              <w:top w:val="single" w:color="auto" w:sz="4" w:space="0"/>
              <w:left w:val="single" w:color="auto" w:sz="4" w:space="0"/>
              <w:bottom w:val="single" w:color="auto" w:sz="4" w:space="0"/>
              <w:right w:val="single" w:color="auto" w:sz="4" w:space="0"/>
            </w:tcBorders>
            <w:noWrap/>
          </w:tcPr>
          <w:p w14:paraId="1B26A995">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邮编：710003</w:t>
            </w:r>
          </w:p>
        </w:tc>
        <w:tc>
          <w:tcPr>
            <w:tcW w:w="2513" w:type="pct"/>
            <w:tcBorders>
              <w:top w:val="single" w:color="auto" w:sz="4" w:space="0"/>
              <w:left w:val="single" w:color="auto" w:sz="4" w:space="0"/>
              <w:bottom w:val="single" w:color="auto" w:sz="4" w:space="0"/>
              <w:right w:val="single" w:color="auto" w:sz="4" w:space="0"/>
            </w:tcBorders>
            <w:noWrap/>
          </w:tcPr>
          <w:p w14:paraId="139F5676">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邮编：</w:t>
            </w:r>
          </w:p>
        </w:tc>
      </w:tr>
      <w:tr w14:paraId="6E4FA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2486" w:type="pct"/>
            <w:tcBorders>
              <w:top w:val="single" w:color="auto" w:sz="4" w:space="0"/>
              <w:left w:val="single" w:color="auto" w:sz="4" w:space="0"/>
              <w:bottom w:val="single" w:color="auto" w:sz="4" w:space="0"/>
              <w:right w:val="single" w:color="auto" w:sz="4" w:space="0"/>
            </w:tcBorders>
            <w:noWrap/>
          </w:tcPr>
          <w:p w14:paraId="45789058">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法定代表人：（签字）</w:t>
            </w:r>
          </w:p>
        </w:tc>
        <w:tc>
          <w:tcPr>
            <w:tcW w:w="2513" w:type="pct"/>
            <w:tcBorders>
              <w:top w:val="single" w:color="auto" w:sz="4" w:space="0"/>
              <w:left w:val="single" w:color="auto" w:sz="4" w:space="0"/>
              <w:bottom w:val="single" w:color="auto" w:sz="4" w:space="0"/>
              <w:right w:val="single" w:color="auto" w:sz="4" w:space="0"/>
            </w:tcBorders>
            <w:noWrap/>
          </w:tcPr>
          <w:p w14:paraId="7E7F01CA">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法定代表人：（签字）</w:t>
            </w:r>
          </w:p>
        </w:tc>
      </w:tr>
      <w:tr w14:paraId="331FA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2486" w:type="pct"/>
            <w:tcBorders>
              <w:top w:val="single" w:color="auto" w:sz="4" w:space="0"/>
              <w:left w:val="single" w:color="auto" w:sz="4" w:space="0"/>
              <w:bottom w:val="single" w:color="auto" w:sz="4" w:space="0"/>
              <w:right w:val="single" w:color="auto" w:sz="4" w:space="0"/>
            </w:tcBorders>
            <w:noWrap/>
          </w:tcPr>
          <w:p w14:paraId="69B6B890">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经办人：（签字）</w:t>
            </w:r>
          </w:p>
        </w:tc>
        <w:tc>
          <w:tcPr>
            <w:tcW w:w="2513" w:type="pct"/>
            <w:tcBorders>
              <w:top w:val="single" w:color="auto" w:sz="4" w:space="0"/>
              <w:left w:val="single" w:color="auto" w:sz="4" w:space="0"/>
              <w:bottom w:val="single" w:color="auto" w:sz="4" w:space="0"/>
              <w:right w:val="single" w:color="auto" w:sz="4" w:space="0"/>
            </w:tcBorders>
            <w:noWrap/>
          </w:tcPr>
          <w:p w14:paraId="7DB76283">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lang w:val="en-US" w:eastAsia="zh-CN"/>
              </w:rPr>
              <w:t>经办人</w:t>
            </w:r>
            <w:r>
              <w:rPr>
                <w:rFonts w:hint="default" w:ascii="Times New Roman" w:hAnsi="Times New Roman" w:cs="Times New Roman"/>
                <w:color w:val="auto"/>
                <w:spacing w:val="0"/>
                <w:kern w:val="2"/>
                <w:sz w:val="21"/>
              </w:rPr>
              <w:t>：（签字）</w:t>
            </w:r>
          </w:p>
        </w:tc>
      </w:tr>
      <w:tr w14:paraId="0B57E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6" w:type="pct"/>
            <w:tcBorders>
              <w:top w:val="single" w:color="auto" w:sz="4" w:space="0"/>
              <w:left w:val="single" w:color="auto" w:sz="4" w:space="0"/>
              <w:bottom w:val="single" w:color="auto" w:sz="4" w:space="0"/>
              <w:right w:val="single" w:color="auto" w:sz="4" w:space="0"/>
            </w:tcBorders>
            <w:noWrap/>
          </w:tcPr>
          <w:p w14:paraId="5D3849E1">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电话：</w:t>
            </w:r>
            <w:r>
              <w:rPr>
                <w:rFonts w:hint="default" w:ascii="Times New Roman" w:hAnsi="Times New Roman" w:cs="Times New Roman"/>
                <w:sz w:val="21"/>
                <w:u w:val="none"/>
              </w:rPr>
              <w:t>029-87692082</w:t>
            </w:r>
          </w:p>
        </w:tc>
        <w:tc>
          <w:tcPr>
            <w:tcW w:w="2513" w:type="pct"/>
            <w:tcBorders>
              <w:top w:val="single" w:color="auto" w:sz="4" w:space="0"/>
              <w:left w:val="single" w:color="auto" w:sz="4" w:space="0"/>
              <w:bottom w:val="single" w:color="auto" w:sz="4" w:space="0"/>
              <w:right w:val="single" w:color="auto" w:sz="4" w:space="0"/>
            </w:tcBorders>
            <w:noWrap/>
          </w:tcPr>
          <w:p w14:paraId="4956A9ED">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电话：</w:t>
            </w:r>
          </w:p>
        </w:tc>
      </w:tr>
      <w:tr w14:paraId="7F4B8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6" w:type="pct"/>
            <w:tcBorders>
              <w:top w:val="single" w:color="auto" w:sz="4" w:space="0"/>
              <w:left w:val="single" w:color="auto" w:sz="4" w:space="0"/>
              <w:bottom w:val="single" w:color="auto" w:sz="4" w:space="0"/>
              <w:right w:val="single" w:color="auto" w:sz="4" w:space="0"/>
            </w:tcBorders>
            <w:noWrap/>
          </w:tcPr>
          <w:p w14:paraId="0BB5792E">
            <w:pPr>
              <w:autoSpaceDE/>
              <w:autoSpaceDN/>
              <w:adjustRightInd/>
              <w:spacing w:line="240" w:lineRule="auto"/>
              <w:jc w:val="left"/>
              <w:rPr>
                <w:rFonts w:ascii="Times New Roman" w:hAnsi="Times New Roman" w:cs="Times New Roman"/>
                <w:color w:val="auto"/>
                <w:spacing w:val="0"/>
                <w:kern w:val="2"/>
                <w:sz w:val="21"/>
              </w:rPr>
            </w:pPr>
          </w:p>
        </w:tc>
        <w:tc>
          <w:tcPr>
            <w:tcW w:w="2513" w:type="pct"/>
            <w:tcBorders>
              <w:top w:val="single" w:color="auto" w:sz="4" w:space="0"/>
              <w:left w:val="single" w:color="auto" w:sz="4" w:space="0"/>
              <w:bottom w:val="single" w:color="auto" w:sz="4" w:space="0"/>
              <w:right w:val="single" w:color="auto" w:sz="4" w:space="0"/>
            </w:tcBorders>
            <w:noWrap/>
          </w:tcPr>
          <w:p w14:paraId="097767F7">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sz w:val="21"/>
              </w:rPr>
              <w:t>开户行：</w:t>
            </w:r>
          </w:p>
        </w:tc>
      </w:tr>
      <w:tr w14:paraId="711BD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6" w:type="pct"/>
            <w:tcBorders>
              <w:top w:val="single" w:color="auto" w:sz="4" w:space="0"/>
              <w:left w:val="single" w:color="auto" w:sz="4" w:space="0"/>
              <w:bottom w:val="single" w:color="auto" w:sz="4" w:space="0"/>
              <w:right w:val="single" w:color="auto" w:sz="4" w:space="0"/>
            </w:tcBorders>
            <w:noWrap/>
          </w:tcPr>
          <w:p w14:paraId="1BA24BA6">
            <w:pPr>
              <w:autoSpaceDE/>
              <w:autoSpaceDN/>
              <w:adjustRightInd/>
              <w:spacing w:line="240" w:lineRule="auto"/>
              <w:jc w:val="left"/>
              <w:rPr>
                <w:rFonts w:ascii="Times New Roman" w:hAnsi="Times New Roman" w:cs="Times New Roman"/>
                <w:color w:val="auto"/>
                <w:spacing w:val="0"/>
                <w:kern w:val="2"/>
                <w:sz w:val="21"/>
              </w:rPr>
            </w:pPr>
          </w:p>
        </w:tc>
        <w:tc>
          <w:tcPr>
            <w:tcW w:w="2513" w:type="pct"/>
            <w:tcBorders>
              <w:top w:val="single" w:color="auto" w:sz="4" w:space="0"/>
              <w:left w:val="single" w:color="auto" w:sz="4" w:space="0"/>
              <w:bottom w:val="single" w:color="auto" w:sz="4" w:space="0"/>
              <w:right w:val="single" w:color="auto" w:sz="4" w:space="0"/>
            </w:tcBorders>
            <w:noWrap/>
          </w:tcPr>
          <w:p w14:paraId="0F787555">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账号：</w:t>
            </w:r>
          </w:p>
        </w:tc>
      </w:tr>
      <w:tr w14:paraId="257D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6" w:type="pct"/>
            <w:tcBorders>
              <w:top w:val="single" w:color="auto" w:sz="4" w:space="0"/>
              <w:left w:val="single" w:color="auto" w:sz="4" w:space="0"/>
              <w:bottom w:val="single" w:color="auto" w:sz="4" w:space="0"/>
              <w:right w:val="single" w:color="auto" w:sz="4" w:space="0"/>
            </w:tcBorders>
            <w:noWrap/>
          </w:tcPr>
          <w:p w14:paraId="3C7EEDBD">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日期：   年   月   日</w:t>
            </w:r>
          </w:p>
        </w:tc>
        <w:tc>
          <w:tcPr>
            <w:tcW w:w="2513" w:type="pct"/>
            <w:tcBorders>
              <w:top w:val="single" w:color="auto" w:sz="4" w:space="0"/>
              <w:left w:val="single" w:color="auto" w:sz="4" w:space="0"/>
              <w:bottom w:val="single" w:color="auto" w:sz="4" w:space="0"/>
              <w:right w:val="single" w:color="auto" w:sz="4" w:space="0"/>
            </w:tcBorders>
            <w:noWrap/>
          </w:tcPr>
          <w:p w14:paraId="7197FAE0">
            <w:pPr>
              <w:autoSpaceDE/>
              <w:autoSpaceDN/>
              <w:adjustRightInd/>
              <w:spacing w:line="240" w:lineRule="auto"/>
              <w:jc w:val="left"/>
              <w:rPr>
                <w:rFonts w:ascii="Times New Roman" w:hAnsi="Times New Roman" w:cs="Times New Roman"/>
                <w:color w:val="auto"/>
                <w:spacing w:val="0"/>
                <w:kern w:val="2"/>
                <w:sz w:val="21"/>
              </w:rPr>
            </w:pPr>
            <w:r>
              <w:rPr>
                <w:rFonts w:hint="default" w:ascii="Times New Roman" w:hAnsi="Times New Roman" w:cs="Times New Roman"/>
                <w:color w:val="auto"/>
                <w:spacing w:val="0"/>
                <w:kern w:val="2"/>
                <w:sz w:val="21"/>
              </w:rPr>
              <w:t>日期：   年   月   日</w:t>
            </w:r>
          </w:p>
        </w:tc>
      </w:tr>
    </w:tbl>
    <w:p w14:paraId="577B9355">
      <w:pPr>
        <w:pStyle w:val="11"/>
        <w:spacing w:line="276" w:lineRule="auto"/>
        <w:ind w:firstLine="0" w:firstLineChars="0"/>
        <w:outlineLvl w:val="1"/>
        <w:rPr>
          <w:rFonts w:ascii="仿宋" w:hAnsi="仿宋" w:eastAsia="仿宋" w:cs="仿宋"/>
          <w:sz w:val="30"/>
          <w:szCs w:val="30"/>
        </w:rPr>
      </w:pPr>
      <w:r>
        <w:rPr>
          <w:rFonts w:hint="eastAsia" w:ascii="仿宋" w:hAnsi="仿宋" w:eastAsia="仿宋" w:cs="仿宋"/>
          <w:szCs w:val="21"/>
        </w:rPr>
        <w:br w:type="page"/>
      </w:r>
      <w:r>
        <w:rPr>
          <w:rFonts w:hint="eastAsia" w:ascii="仿宋" w:hAnsi="仿宋" w:eastAsia="仿宋" w:cs="仿宋"/>
          <w:sz w:val="30"/>
          <w:szCs w:val="30"/>
        </w:rPr>
        <w:t>附件一：</w:t>
      </w:r>
    </w:p>
    <w:p w14:paraId="03EF30CE">
      <w:pPr>
        <w:pStyle w:val="3"/>
        <w:jc w:val="center"/>
        <w:rPr>
          <w:rFonts w:ascii="宋体" w:hAnsi="宋体" w:cs="宋体"/>
          <w:b/>
          <w:bCs/>
          <w:color w:val="000000"/>
          <w:spacing w:val="-20"/>
          <w:sz w:val="28"/>
          <w:szCs w:val="28"/>
        </w:rPr>
      </w:pPr>
      <w:r>
        <w:rPr>
          <w:rFonts w:hint="eastAsia" w:ascii="宋体" w:hAnsi="宋体" w:cs="宋体"/>
          <w:b w:val="0"/>
          <w:bCs w:val="0"/>
          <w:color w:val="000000"/>
          <w:spacing w:val="-20"/>
          <w:sz w:val="28"/>
          <w:szCs w:val="28"/>
        </w:rPr>
        <w:t>产品技术参数</w:t>
      </w:r>
    </w:p>
    <w:tbl>
      <w:tblPr>
        <w:tblStyle w:val="7"/>
        <w:tblW w:w="4861"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48"/>
        <w:gridCol w:w="7537"/>
      </w:tblGrid>
      <w:tr w14:paraId="2D7AE7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1" w:type="pct"/>
          </w:tcPr>
          <w:p w14:paraId="25655E0B">
            <w:pPr>
              <w:pStyle w:val="10"/>
              <w:rPr>
                <w:rFonts w:hint="default"/>
              </w:rPr>
            </w:pPr>
            <w:r>
              <w:t xml:space="preserve"> 序号</w:t>
            </w:r>
          </w:p>
        </w:tc>
        <w:tc>
          <w:tcPr>
            <w:tcW w:w="4548" w:type="pct"/>
          </w:tcPr>
          <w:p w14:paraId="6743376E">
            <w:pPr>
              <w:pStyle w:val="10"/>
              <w:rPr>
                <w:rFonts w:hint="default"/>
              </w:rPr>
            </w:pPr>
            <w:r>
              <w:t xml:space="preserve"> 技术参数与性能指标</w:t>
            </w:r>
          </w:p>
        </w:tc>
      </w:tr>
      <w:tr w14:paraId="1B48D4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1" w:type="pct"/>
          </w:tcPr>
          <w:p w14:paraId="2ECBD576">
            <w:pPr>
              <w:pStyle w:val="10"/>
              <w:rPr>
                <w:rFonts w:hint="default"/>
              </w:rPr>
            </w:pPr>
            <w:r>
              <w:t>1</w:t>
            </w:r>
          </w:p>
        </w:tc>
        <w:tc>
          <w:tcPr>
            <w:tcW w:w="4548" w:type="pct"/>
          </w:tcPr>
          <w:tbl>
            <w:tblPr>
              <w:tblStyle w:val="7"/>
              <w:tblW w:w="8138"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38"/>
            </w:tblGrid>
            <w:tr w14:paraId="7EC969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3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4312473">
                  <w:pPr>
                    <w:pStyle w:val="10"/>
                    <w:jc w:val="both"/>
                    <w:rPr>
                      <w:rFonts w:hint="default"/>
                    </w:rPr>
                  </w:pPr>
                </w:p>
              </w:tc>
            </w:tr>
          </w:tbl>
          <w:p w14:paraId="265149B7"/>
        </w:tc>
      </w:tr>
    </w:tbl>
    <w:p w14:paraId="30A06026"/>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auto"/>
    <w:pitch w:val="default"/>
    <w:sig w:usb0="00000000" w:usb1="00000000" w:usb2="00000000" w:usb3="00000000" w:csb0="00040000" w:csb1="00000000"/>
    <w:embedRegular r:id="rId1" w:fontKey="{488EAA9B-5726-4B1E-8B1D-A283F66500C2}"/>
  </w:font>
  <w:font w:name="仿宋">
    <w:panose1 w:val="02010609060101010101"/>
    <w:charset w:val="86"/>
    <w:family w:val="auto"/>
    <w:pitch w:val="default"/>
    <w:sig w:usb0="800002BF" w:usb1="38CF7CFA" w:usb2="00000016" w:usb3="00000000" w:csb0="00040001" w:csb1="00000000"/>
    <w:embedRegular r:id="rId2" w:fontKey="{7614857E-F468-4451-AFBC-7B616CBF9B0D}"/>
  </w:font>
  <w:font w:name="方正仿宋_GB2312">
    <w:panose1 w:val="02000000000000000000"/>
    <w:charset w:val="86"/>
    <w:family w:val="auto"/>
    <w:pitch w:val="default"/>
    <w:sig w:usb0="A00002BF" w:usb1="184F6CFA" w:usb2="00000012" w:usb3="00000000" w:csb0="00040001" w:csb1="00000000"/>
    <w:embedRegular r:id="rId3" w:fontKey="{2CAD7E5A-2388-49AF-ABE9-8C923CB1DE9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769A1">
    <w:pPr>
      <w:pStyle w:val="4"/>
      <w:framePr w:wrap="around" w:vAnchor="text" w:hAnchor="margin" w:xAlign="center" w:y="1"/>
      <w:rPr>
        <w:rStyle w:val="9"/>
      </w:rPr>
    </w:pPr>
  </w:p>
  <w:p w14:paraId="4859A0BC">
    <w:pPr>
      <w:pStyle w:val="4"/>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9E196">
    <w:pPr>
      <w:pStyle w:val="4"/>
      <w:framePr w:wrap="around" w:vAnchor="text" w:hAnchor="margin" w:xAlign="center" w:y="1"/>
      <w:rPr>
        <w:rStyle w:val="9"/>
      </w:rPr>
    </w:pPr>
    <w:r>
      <w:fldChar w:fldCharType="begin"/>
    </w:r>
    <w:r>
      <w:rPr>
        <w:rStyle w:val="9"/>
      </w:rPr>
      <w:instrText xml:space="preserve">PAGE  </w:instrText>
    </w:r>
    <w:r>
      <w:fldChar w:fldCharType="end"/>
    </w:r>
  </w:p>
  <w:p w14:paraId="0D24A368">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AE72F">
    <w:pPr>
      <w:pStyle w:val="4"/>
      <w:framePr w:wrap="around" w:vAnchor="text" w:hAnchor="margin" w:xAlign="center" w:y="1"/>
      <w:rPr>
        <w:rStyle w:val="9"/>
      </w:rPr>
    </w:pPr>
  </w:p>
  <w:p w14:paraId="6A0ABB01">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E0991">
    <w:pPr>
      <w:pStyle w:val="4"/>
      <w:framePr w:wrap="around" w:vAnchor="text" w:hAnchor="margin" w:xAlign="center" w:y="1"/>
      <w:rPr>
        <w:rStyle w:val="9"/>
      </w:rPr>
    </w:pPr>
  </w:p>
  <w:p w14:paraId="1579EF8F">
    <w:pPr>
      <w:pStyle w:val="4"/>
      <w:jc w:val="lef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0A570">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2851F">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909BA">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EA321">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BF4D49"/>
    <w:rsid w:val="18082529"/>
    <w:rsid w:val="5336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before="60" w:after="60"/>
      <w:ind w:firstLine="600" w:firstLineChars="200"/>
      <w:jc w:val="left"/>
    </w:pPr>
    <w:rPr>
      <w:rFonts w:eastAsia="新宋体"/>
      <w:sz w:val="24"/>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page number"/>
    <w:basedOn w:val="8"/>
    <w:qFormat/>
    <w:uiPriority w:val="0"/>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3829</Words>
  <Characters>4086</Characters>
  <Lines>0</Lines>
  <Paragraphs>0</Paragraphs>
  <TotalTime>0</TotalTime>
  <ScaleCrop>false</ScaleCrop>
  <LinksUpToDate>false</LinksUpToDate>
  <CharactersWithSpaces>4152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2026-07-23T09:32:00Z</dcterms:created>
  <dc:creator>PC</dc:creator>
  <cp:lastModifiedBy>WPS_1730795421</cp:lastModifiedBy>
  <dcterms:modified xsi:type="dcterms:W3CDTF">2026-07-24T01:59:43Z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eyJoZGlkIjoiYTgyMTUzZjY5ODg2MmI4NzBiYzI3NDYzOTM4MDQzZTYiLCJ1c2VySWQiOiIxNjUxMjMxODA3In0=</vt:lpwstr>
  </property>
  <property fmtid="{D5CDD505-2E9C-101B-9397-08002B2CF9AE}" pid="4" name="ICV">
    <vt:lpwstr>1CC102464D964801AF49A5625504F300_12</vt:lpwstr>
  </property>
</Properties>
</file>