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版本号：ZC2026-HW-12120260517001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勉县城镇生活垃圾转运处理设施设备更新项目（二期）江南生活垃圾压缩转运站成套压缩设备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ZC2026-HW-121</w:t>
      </w:r>
      <w:r>
        <w:br/>
      </w:r>
      <w:r>
        <w:br/>
      </w:r>
      <w:r>
        <w:br/>
      </w:r>
    </w:p>
    <w:p>
      <w:pPr>
        <w:pStyle w:val="null3"/>
        <w:jc w:val="center"/>
        <w:outlineLvl w:val="2"/>
      </w:pPr>
      <w:r>
        <w:rPr>
          <w:rFonts w:ascii="仿宋_GB2312" w:hAnsi="仿宋_GB2312" w:cs="仿宋_GB2312" w:eastAsia="仿宋_GB2312"/>
          <w:sz w:val="28"/>
          <w:b/>
        </w:rPr>
        <w:t>勉县园林环卫服务中心</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勉县园林环卫服务中心</w:t>
      </w:r>
      <w:r>
        <w:rPr>
          <w:rFonts w:ascii="仿宋_GB2312" w:hAnsi="仿宋_GB2312" w:cs="仿宋_GB2312" w:eastAsia="仿宋_GB2312"/>
        </w:rPr>
        <w:t>委托，拟对</w:t>
      </w:r>
      <w:r>
        <w:rPr>
          <w:rFonts w:ascii="仿宋_GB2312" w:hAnsi="仿宋_GB2312" w:cs="仿宋_GB2312" w:eastAsia="仿宋_GB2312"/>
        </w:rPr>
        <w:t>勉县城镇生活垃圾转运处理设施设备更新项目（二期）江南生活垃圾压缩转运站成套压缩设备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ZC2026-HW-121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勉县城镇生活垃圾转运处理设施设备更新项目（二期）江南生活垃圾压缩转运站成套压缩设备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勉县城镇生活垃圾转运处理设施设备更新项目（二期）江南生活垃圾压缩转运站成套压缩设备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p>
      <w:pPr>
        <w:pStyle w:val="null3"/>
      </w:pPr>
      <w:r>
        <w:rPr>
          <w:rFonts w:ascii="仿宋_GB2312" w:hAnsi="仿宋_GB2312" w:cs="仿宋_GB2312" w:eastAsia="仿宋_GB2312"/>
        </w:rPr>
        <w:t>2、拟供车辆资料：供应商拟供车型必须在国家工业和信息化部发布的《车辆生产企业及产品》公告内；</w:t>
      </w:r>
    </w:p>
    <w:p>
      <w:pPr>
        <w:pStyle w:val="null3"/>
      </w:pPr>
      <w:r>
        <w:rPr>
          <w:rFonts w:ascii="仿宋_GB2312" w:hAnsi="仿宋_GB2312" w:cs="仿宋_GB2312" w:eastAsia="仿宋_GB2312"/>
        </w:rPr>
        <w:t>3、企业信用：供应商不得为“信用中国” 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 （注：以投标文件中提供的承诺书为准）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勉县园林环卫服务中心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勉县天荡山路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税利鹤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3222900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西安市高新区高新三路9号信息港大厦5楼506室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宋扬、刘静静、毛鑫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银行账号：129911536210906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金额为基数，参照《国家计委关于印发&lt;招标代理服务收费管理暂行办法&gt;的通知》（计价格[2002]1980号）规定的货物类标准以差额定率累进制计算收取，由中标人在领取中标通知书前一次性足额支付给采购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勉县园林环卫服务中心</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勉县园林环卫服务中心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勉县园林环卫服务中心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符合国家及行业质量验收合格标准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联系人：宋扬、刘静静、毛鑫</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地址：西安市高新区高新三路9号信息港大厦5楼506室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勉县城镇生活垃圾转运处理设施设备更新项目（二期）江南生活垃圾压缩转运站成套压缩设备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5,060,000.00</w:t>
      </w:r>
    </w:p>
    <w:p>
      <w:pPr>
        <w:pStyle w:val="null3"/>
      </w:pPr>
      <w:r>
        <w:rPr>
          <w:rFonts w:ascii="仿宋_GB2312" w:hAnsi="仿宋_GB2312" w:cs="仿宋_GB2312" w:eastAsia="仿宋_GB2312"/>
        </w:rPr>
        <w:t>采购包最高限价（元）: 5,060,000.00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勉县城镇生活垃圾转运处理设施设备更新项目（二期）江南生活垃圾压缩转运站成套压缩设备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标的名称：勉县城镇生活垃圾转运处理设施设备更新项目（二期）江南生活垃圾压缩转运站成套压缩设备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color w:val="0000FF"/>
              </w:rPr>
              <w:t>一、项目概况：</w:t>
            </w:r>
          </w:p>
          <w:p>
            <w:pPr>
              <w:pStyle w:val="null3"/>
              <w:ind w:firstLine="420"/>
            </w:pPr>
            <w:r>
              <w:rPr>
                <w:rFonts w:ascii="仿宋_GB2312" w:hAnsi="仿宋_GB2312" w:cs="仿宋_GB2312" w:eastAsia="仿宋_GB2312"/>
                <w:sz w:val="21"/>
                <w:color w:val="0000FF"/>
              </w:rPr>
              <w:t>勉县城镇生活垃圾转运处理设施设备更新项目（二期）江南生活垃圾压缩转运站成套压缩设备</w:t>
            </w:r>
          </w:p>
          <w:p>
            <w:pPr>
              <w:pStyle w:val="null3"/>
            </w:pPr>
            <w:r>
              <w:rPr>
                <w:rFonts w:ascii="仿宋_GB2312" w:hAnsi="仿宋_GB2312" w:cs="仿宋_GB2312" w:eastAsia="仿宋_GB2312"/>
                <w:sz w:val="21"/>
                <w:b/>
                <w:color w:val="0000FF"/>
              </w:rPr>
              <w:t>二、采购标的：</w:t>
            </w:r>
          </w:p>
          <w:tbl>
            <w:tblPr>
              <w:tblBorders>
                <w:top w:val="none" w:color="000000" w:sz="4"/>
                <w:left w:val="none" w:color="000000" w:sz="4"/>
                <w:bottom w:val="none" w:color="000000" w:sz="4"/>
                <w:right w:val="none" w:color="000000" w:sz="4"/>
                <w:insideH w:val="none"/>
                <w:insideV w:val="none"/>
              </w:tblBorders>
            </w:tblPr>
            <w:tblGrid>
              <w:gridCol w:w="292"/>
              <w:gridCol w:w="1273"/>
              <w:gridCol w:w="452"/>
              <w:gridCol w:w="521"/>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序号</w:t>
                  </w:r>
                </w:p>
              </w:tc>
              <w:tc>
                <w:tcPr>
                  <w:tcW w:type="dxa" w:w="1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名称</w:t>
                  </w:r>
                </w:p>
              </w:tc>
              <w:tc>
                <w:tcPr>
                  <w:tcW w:type="dxa" w:w="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数量</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备注</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水平直压式压缩机</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核心产品</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移箱平台</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3</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垃圾箱（配套）</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中央控制系统</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5</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视频监视系统</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6</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交通指挥系统</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7</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语音广播系统</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8</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大屏显示系统</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9</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负压抽风除臭系统</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10</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料口喷淋降尘系统</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11</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空间喷淋除臭系统</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快速卷帘门</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13</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风幕机</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14</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高压清洗机</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15</w:t>
                  </w:r>
                </w:p>
              </w:tc>
              <w:tc>
                <w:tcPr>
                  <w:tcW w:type="dxa" w:w="1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25吨</w:t>
                  </w:r>
                  <w:r>
                    <w:rPr>
                      <w:rFonts w:ascii="仿宋_GB2312" w:hAnsi="仿宋_GB2312" w:cs="仿宋_GB2312" w:eastAsia="仿宋_GB2312"/>
                      <w:sz w:val="21"/>
                      <w:color w:val="0000FF"/>
                    </w:rPr>
                    <w:t>车厢可卸式垃圾车</w:t>
                  </w:r>
                </w:p>
              </w:tc>
              <w:tc>
                <w:tcPr>
                  <w:tcW w:type="dxa" w:w="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b/>
                <w:color w:val="0000FF"/>
              </w:rPr>
              <w:t>三、采购标的需满足的技术要求：</w:t>
            </w:r>
          </w:p>
          <w:tbl>
            <w:tblPr>
              <w:tblBorders>
                <w:top w:val="none" w:color="000000" w:sz="4"/>
                <w:left w:val="none" w:color="000000" w:sz="4"/>
                <w:bottom w:val="none" w:color="000000" w:sz="4"/>
                <w:right w:val="none" w:color="000000" w:sz="4"/>
                <w:insideH w:val="none"/>
                <w:insideV w:val="none"/>
              </w:tblBorders>
            </w:tblPr>
            <w:tblGrid>
              <w:gridCol w:w="256"/>
              <w:gridCol w:w="499"/>
              <w:gridCol w:w="222"/>
              <w:gridCol w:w="1554"/>
            </w:tblGrid>
            <w:tr>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序号</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名称</w:t>
                  </w:r>
                </w:p>
              </w:tc>
              <w:tc>
                <w:tcPr>
                  <w:tcW w:type="dxa" w:w="2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数量</w:t>
                  </w:r>
                </w:p>
              </w:tc>
              <w:tc>
                <w:tcPr>
                  <w:tcW w:type="dxa" w:w="1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技术参数及要求</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水平直压式压缩机</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1.压缩机：</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1）压缩形式：水平直压式</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2）上料方式：平台上料</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3）推头最大推力（kN）：≥420</w:t>
                  </w:r>
                </w:p>
                <w:p>
                  <w:pPr>
                    <w:pStyle w:val="null3"/>
                    <w:spacing w:after="120"/>
                    <w:jc w:val="left"/>
                  </w:pPr>
                  <w:r>
                    <w:rPr>
                      <w:rFonts w:ascii="仿宋_GB2312" w:hAnsi="仿宋_GB2312" w:cs="仿宋_GB2312" w:eastAsia="仿宋_GB2312"/>
                      <w:sz w:val="21"/>
                      <w:color w:val="0000FF"/>
                    </w:rPr>
                    <w:t>▲（4）理论单机垃圾处理能力（t/h）：≥30</w:t>
                  </w:r>
                  <w:r>
                    <w:rPr>
                      <w:rFonts w:ascii="仿宋_GB2312" w:hAnsi="仿宋_GB2312" w:cs="仿宋_GB2312" w:eastAsia="仿宋_GB2312"/>
                      <w:sz w:val="21"/>
                      <w:b/>
                      <w:color w:val="0000FF"/>
                    </w:rPr>
                    <w:t>（需提供检测报告）</w:t>
                  </w:r>
                </w:p>
                <w:p>
                  <w:pPr>
                    <w:pStyle w:val="null3"/>
                    <w:spacing w:after="120"/>
                    <w:jc w:val="left"/>
                  </w:pPr>
                  <w:r>
                    <w:rPr>
                      <w:rFonts w:ascii="仿宋_GB2312" w:hAnsi="仿宋_GB2312" w:cs="仿宋_GB2312" w:eastAsia="仿宋_GB2312"/>
                      <w:sz w:val="21"/>
                      <w:color w:val="0000FF"/>
                    </w:rPr>
                    <w:t>▲（5）压缩仓容积（m3）：≥3.3</w:t>
                  </w:r>
                  <w:r>
                    <w:rPr>
                      <w:rFonts w:ascii="仿宋_GB2312" w:hAnsi="仿宋_GB2312" w:cs="仿宋_GB2312" w:eastAsia="仿宋_GB2312"/>
                      <w:sz w:val="21"/>
                      <w:b/>
                      <w:color w:val="0000FF"/>
                    </w:rPr>
                    <w:t>（需提供检测报告）</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6）垃圾密实度（t/m3）：≥0.75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7）液压系统最高工作压力（MPa）: ≥20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8）压缩循环时间（s）:≤50</w:t>
                  </w:r>
                </w:p>
                <w:p>
                  <w:pPr>
                    <w:pStyle w:val="null3"/>
                    <w:spacing w:after="120"/>
                    <w:jc w:val="left"/>
                  </w:pPr>
                  <w:r>
                    <w:rPr>
                      <w:rFonts w:ascii="仿宋_GB2312" w:hAnsi="仿宋_GB2312" w:cs="仿宋_GB2312" w:eastAsia="仿宋_GB2312"/>
                      <w:sz w:val="21"/>
                      <w:color w:val="0000FF"/>
                    </w:rPr>
                    <w:t>2.压缩机主要组件要求</w:t>
                  </w:r>
                </w:p>
                <w:p>
                  <w:pPr>
                    <w:pStyle w:val="null3"/>
                    <w:spacing w:after="120"/>
                    <w:jc w:val="left"/>
                  </w:pPr>
                  <w:r>
                    <w:rPr>
                      <w:rFonts w:ascii="仿宋_GB2312" w:hAnsi="仿宋_GB2312" w:cs="仿宋_GB2312" w:eastAsia="仿宋_GB2312"/>
                      <w:sz w:val="21"/>
                      <w:color w:val="0000FF"/>
                    </w:rPr>
                    <w:t>▲（1）压缩机焊合：采用高强度BHNM450钢板制作而成，苏醒延伸强度≥1150MPa，抗拉强度≥1300MPa，表面硬度HBW≥470；</w:t>
                  </w:r>
                  <w:r>
                    <w:rPr>
                      <w:rFonts w:ascii="仿宋_GB2312" w:hAnsi="仿宋_GB2312" w:cs="仿宋_GB2312" w:eastAsia="仿宋_GB2312"/>
                      <w:sz w:val="21"/>
                      <w:b/>
                      <w:color w:val="0000FF"/>
                    </w:rPr>
                    <w:t>（需提供材质检测报告）</w:t>
                  </w:r>
                </w:p>
                <w:p>
                  <w:pPr>
                    <w:pStyle w:val="null3"/>
                    <w:spacing w:after="120"/>
                    <w:jc w:val="left"/>
                  </w:pPr>
                  <w:r>
                    <w:rPr>
                      <w:rFonts w:ascii="仿宋_GB2312" w:hAnsi="仿宋_GB2312" w:cs="仿宋_GB2312" w:eastAsia="仿宋_GB2312"/>
                      <w:sz w:val="21"/>
                      <w:color w:val="0000FF"/>
                    </w:rPr>
                    <w:t>▲（2）切料门机构：须采用单根油缸驱动，避免两件油缸驱动不平衡。安装配套感应开关。</w:t>
                  </w:r>
                  <w:r>
                    <w:rPr>
                      <w:rFonts w:ascii="仿宋_GB2312" w:hAnsi="仿宋_GB2312" w:cs="仿宋_GB2312" w:eastAsia="仿宋_GB2312"/>
                      <w:sz w:val="21"/>
                      <w:b/>
                      <w:color w:val="0000FF"/>
                    </w:rPr>
                    <w:t>（需提供实物照片）</w:t>
                  </w:r>
                </w:p>
                <w:p>
                  <w:pPr>
                    <w:pStyle w:val="null3"/>
                    <w:spacing w:after="120"/>
                    <w:jc w:val="left"/>
                  </w:pPr>
                  <w:r>
                    <w:rPr>
                      <w:rFonts w:ascii="仿宋_GB2312" w:hAnsi="仿宋_GB2312" w:cs="仿宋_GB2312" w:eastAsia="仿宋_GB2312"/>
                      <w:sz w:val="21"/>
                      <w:color w:val="0000FF"/>
                    </w:rPr>
                    <w:t>▲（3）切料门油缸在无负载工况下起动，全行程往复运动数次，完全排除缸内空气。</w:t>
                  </w:r>
                  <w:r>
                    <w:rPr>
                      <w:rFonts w:ascii="仿宋_GB2312" w:hAnsi="仿宋_GB2312" w:cs="仿宋_GB2312" w:eastAsia="仿宋_GB2312"/>
                      <w:sz w:val="21"/>
                      <w:b/>
                      <w:color w:val="0000FF"/>
                    </w:rPr>
                    <w:t>（需提供检测报告）</w:t>
                  </w:r>
                </w:p>
                <w:p>
                  <w:pPr>
                    <w:pStyle w:val="null3"/>
                    <w:spacing w:after="120"/>
                    <w:jc w:val="left"/>
                  </w:pPr>
                  <w:r>
                    <w:rPr>
                      <w:rFonts w:ascii="仿宋_GB2312" w:hAnsi="仿宋_GB2312" w:cs="仿宋_GB2312" w:eastAsia="仿宋_GB2312"/>
                      <w:sz w:val="21"/>
                      <w:color w:val="0000FF"/>
                    </w:rPr>
                    <w:t>▲（4）压缩头机构：压缩头的底板设置可调整更换的TMC耐磨板，降低压缩机工作噪声，方便维修，压缩机箱体后部设置导污装置，底板的最低处配备排污口，实现污水的定向收集和有序排放。</w:t>
                  </w:r>
                  <w:r>
                    <w:rPr>
                      <w:rFonts w:ascii="仿宋_GB2312" w:hAnsi="仿宋_GB2312" w:cs="仿宋_GB2312" w:eastAsia="仿宋_GB2312"/>
                      <w:sz w:val="21"/>
                      <w:b/>
                      <w:color w:val="0000FF"/>
                    </w:rPr>
                    <w:t>（需提供实物照片）</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卡箱机构：在压缩机主体压缩垃圾时，用于固定并锁紧分体箱，最大锁紧力远大于推板机构产生的最大推力，保证在压缩机工作过程中，压缩机上的胶条密封可靠，采用滑槽导向，机械死点锁紧形式，配备有防护罩遮盖。</w:t>
                  </w:r>
                </w:p>
                <w:p>
                  <w:pPr>
                    <w:pStyle w:val="null3"/>
                    <w:spacing w:after="120"/>
                    <w:jc w:val="left"/>
                  </w:pPr>
                  <w:r>
                    <w:rPr>
                      <w:rFonts w:ascii="仿宋_GB2312" w:hAnsi="仿宋_GB2312" w:cs="仿宋_GB2312" w:eastAsia="仿宋_GB2312"/>
                      <w:sz w:val="21"/>
                      <w:color w:val="0000FF"/>
                    </w:rPr>
                    <w:t>▲（6）卡箱油缸：卡箱油缸在无负载工况下起动，全行程往复运动数次，完全排除缸内空气。</w:t>
                  </w:r>
                  <w:r>
                    <w:rPr>
                      <w:rFonts w:ascii="仿宋_GB2312" w:hAnsi="仿宋_GB2312" w:cs="仿宋_GB2312" w:eastAsia="仿宋_GB2312"/>
                      <w:sz w:val="21"/>
                      <w:b/>
                      <w:color w:val="0000FF"/>
                    </w:rPr>
                    <w:t>（需提供检测报告证明）</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移箱平台</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1.移位距离≥2.9m</w:t>
                  </w:r>
                </w:p>
                <w:p>
                  <w:pPr>
                    <w:pStyle w:val="null3"/>
                    <w:spacing w:after="120"/>
                    <w:jc w:val="left"/>
                  </w:pPr>
                  <w:r>
                    <w:rPr>
                      <w:rFonts w:ascii="仿宋_GB2312" w:hAnsi="仿宋_GB2312" w:cs="仿宋_GB2312" w:eastAsia="仿宋_GB2312"/>
                      <w:sz w:val="21"/>
                      <w:color w:val="0000FF"/>
                    </w:rPr>
                    <w:t>2.移位速度≥2.0m/min</w:t>
                  </w:r>
                </w:p>
                <w:p>
                  <w:pPr>
                    <w:pStyle w:val="null3"/>
                    <w:spacing w:after="120"/>
                    <w:jc w:val="left"/>
                  </w:pPr>
                  <w:r>
                    <w:rPr>
                      <w:rFonts w:ascii="仿宋_GB2312" w:hAnsi="仿宋_GB2312" w:cs="仿宋_GB2312" w:eastAsia="仿宋_GB2312"/>
                      <w:sz w:val="21"/>
                      <w:color w:val="0000FF"/>
                    </w:rPr>
                    <w:t>3.采用液压油缸驱动，由移箱平台、轨道及限位装置组成。</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垃圾箱（配套）</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4</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1.箱体容积：≥22m³；</w:t>
                  </w:r>
                </w:p>
                <w:p>
                  <w:pPr>
                    <w:pStyle w:val="null3"/>
                    <w:spacing w:after="120"/>
                    <w:jc w:val="left"/>
                  </w:pPr>
                  <w:r>
                    <w:rPr>
                      <w:rFonts w:ascii="仿宋_GB2312" w:hAnsi="仿宋_GB2312" w:cs="仿宋_GB2312" w:eastAsia="仿宋_GB2312"/>
                      <w:sz w:val="21"/>
                      <w:color w:val="0000FF"/>
                    </w:rPr>
                    <w:t>2.外形尺寸(mm):6100×2600×2500（±50mm）；</w:t>
                  </w:r>
                </w:p>
                <w:p>
                  <w:pPr>
                    <w:pStyle w:val="null3"/>
                    <w:spacing w:after="120"/>
                    <w:jc w:val="left"/>
                  </w:pPr>
                  <w:r>
                    <w:rPr>
                      <w:rFonts w:ascii="仿宋_GB2312" w:hAnsi="仿宋_GB2312" w:cs="仿宋_GB2312" w:eastAsia="仿宋_GB2312"/>
                      <w:sz w:val="21"/>
                      <w:color w:val="0000FF"/>
                    </w:rPr>
                    <w:t>▲3.后门与箱体的密封采用双峰唇型密封胶条，保证后门处的密封，确保运输过程中不会二次污染；</w:t>
                  </w:r>
                  <w:r>
                    <w:rPr>
                      <w:rFonts w:ascii="仿宋_GB2312" w:hAnsi="仿宋_GB2312" w:cs="仿宋_GB2312" w:eastAsia="仿宋_GB2312"/>
                      <w:sz w:val="21"/>
                      <w:b/>
                      <w:color w:val="0000FF"/>
                    </w:rPr>
                    <w:t>（需提供实物照片）</w:t>
                  </w:r>
                </w:p>
                <w:p>
                  <w:pPr>
                    <w:pStyle w:val="null3"/>
                    <w:spacing w:after="120"/>
                    <w:jc w:val="left"/>
                  </w:pPr>
                  <w:r>
                    <w:rPr>
                      <w:rFonts w:ascii="仿宋_GB2312" w:hAnsi="仿宋_GB2312" w:cs="仿宋_GB2312" w:eastAsia="仿宋_GB2312"/>
                      <w:sz w:val="21"/>
                      <w:color w:val="0000FF"/>
                    </w:rPr>
                    <w:t>▲4.箱体后门采用液压双锁钩联动锁紧机构，保证在配套车辆的驾驶室控制箱体后门的打开和锁紧，保证后门密闭可靠，杜绝运输过程中垃圾泄漏。</w:t>
                  </w:r>
                  <w:r>
                    <w:rPr>
                      <w:rFonts w:ascii="仿宋_GB2312" w:hAnsi="仿宋_GB2312" w:cs="仿宋_GB2312" w:eastAsia="仿宋_GB2312"/>
                      <w:sz w:val="21"/>
                      <w:b/>
                      <w:color w:val="0000FF"/>
                    </w:rPr>
                    <w:t>（需提供实物照片）</w:t>
                  </w:r>
                </w:p>
                <w:p>
                  <w:pPr>
                    <w:pStyle w:val="null3"/>
                    <w:spacing w:after="120"/>
                    <w:jc w:val="left"/>
                  </w:pPr>
                  <w:r>
                    <w:rPr>
                      <w:rFonts w:ascii="仿宋_GB2312" w:hAnsi="仿宋_GB2312" w:cs="仿宋_GB2312" w:eastAsia="仿宋_GB2312"/>
                      <w:sz w:val="21"/>
                      <w:color w:val="0000FF"/>
                    </w:rPr>
                    <w:t>5.勾心高度：1570±5mm</w:t>
                  </w:r>
                </w:p>
              </w:tc>
            </w:tr>
            <w:tr>
              <w:tc>
                <w:tcPr>
                  <w:tcW w:type="dxa" w:w="25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4</w:t>
                  </w:r>
                </w:p>
              </w:tc>
              <w:tc>
                <w:tcPr>
                  <w:tcW w:type="dxa" w:w="49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中央控制系统</w:t>
                  </w:r>
                </w:p>
              </w:tc>
              <w:tc>
                <w:tcPr>
                  <w:tcW w:type="dxa" w:w="22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1.电脑：</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1）电脑主机额定电流≤3A</w:t>
                  </w:r>
                </w:p>
                <w:p>
                  <w:pPr>
                    <w:pStyle w:val="null3"/>
                    <w:spacing w:after="120"/>
                    <w:jc w:val="left"/>
                  </w:pPr>
                  <w:r>
                    <w:rPr>
                      <w:rFonts w:ascii="仿宋_GB2312" w:hAnsi="仿宋_GB2312" w:cs="仿宋_GB2312" w:eastAsia="仿宋_GB2312"/>
                      <w:sz w:val="21"/>
                      <w:color w:val="0000FF"/>
                    </w:rPr>
                    <w:t>2.交换机：</w:t>
                  </w:r>
                </w:p>
                <w:p>
                  <w:pPr>
                    <w:pStyle w:val="null3"/>
                    <w:spacing w:after="120"/>
                    <w:jc w:val="left"/>
                  </w:pPr>
                  <w:r>
                    <w:rPr>
                      <w:rFonts w:ascii="仿宋_GB2312" w:hAnsi="仿宋_GB2312" w:cs="仿宋_GB2312" w:eastAsia="仿宋_GB2312"/>
                      <w:sz w:val="21"/>
                      <w:color w:val="0000FF"/>
                    </w:rPr>
                    <w:t>▲（1）交换机额定电流≤0.4A</w:t>
                  </w:r>
                  <w:r>
                    <w:rPr>
                      <w:rFonts w:ascii="仿宋_GB2312" w:hAnsi="仿宋_GB2312" w:cs="仿宋_GB2312" w:eastAsia="仿宋_GB2312"/>
                      <w:sz w:val="21"/>
                      <w:b/>
                      <w:color w:val="0000FF"/>
                    </w:rPr>
                    <w:t>（提供检测报告证明）</w:t>
                  </w:r>
                </w:p>
                <w:p>
                  <w:pPr>
                    <w:pStyle w:val="null3"/>
                    <w:spacing w:after="120"/>
                    <w:jc w:val="left"/>
                  </w:pPr>
                  <w:r>
                    <w:rPr>
                      <w:rFonts w:ascii="仿宋_GB2312" w:hAnsi="仿宋_GB2312" w:cs="仿宋_GB2312" w:eastAsia="仿宋_GB2312"/>
                      <w:sz w:val="21"/>
                      <w:color w:val="0000FF"/>
                    </w:rPr>
                    <w:t>3.系统：</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1）I/O指示及历史查询：实时显示设备输入输出状态；可查询输入输出历史。</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2）报警查询：可查询历史报警情况；</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3）操作记录查询：可查询系统操作历史；</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4）转运站工作情况总览：可查看设备运行情况；</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5）报警信息总览：可查看各报警情况的统计分析；</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6）基于组态软件开发的控制系统，可根据客户需求进行界面定制；</w:t>
                  </w:r>
                </w:p>
                <w:p>
                  <w:pPr>
                    <w:pStyle w:val="null3"/>
                    <w:spacing w:after="120"/>
                    <w:jc w:val="left"/>
                  </w:pPr>
                  <w:r>
                    <w:rPr>
                      <w:rFonts w:ascii="仿宋_GB2312" w:hAnsi="仿宋_GB2312" w:cs="仿宋_GB2312" w:eastAsia="仿宋_GB2312"/>
                      <w:sz w:val="21"/>
                      <w:color w:val="0000FF"/>
                    </w:rPr>
                    <w:t>▲（7）具备系统软件著作权登记证书</w:t>
                  </w:r>
                  <w:r>
                    <w:rPr>
                      <w:rFonts w:ascii="仿宋_GB2312" w:hAnsi="仿宋_GB2312" w:cs="仿宋_GB2312" w:eastAsia="仿宋_GB2312"/>
                      <w:sz w:val="21"/>
                      <w:b/>
                      <w:color w:val="0000FF"/>
                    </w:rPr>
                    <w:t>（需提供证书原件备查）</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视频监视系统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1.采用高清红外枪机的方式进行图像采集，通过安装在中央控制室的显示器进行集中显示，实现对作业区域进行全面视频监控；</w:t>
                  </w:r>
                </w:p>
                <w:p>
                  <w:pPr>
                    <w:pStyle w:val="null3"/>
                    <w:spacing w:after="120"/>
                    <w:jc w:val="left"/>
                  </w:pPr>
                  <w:r>
                    <w:rPr>
                      <w:rFonts w:ascii="仿宋_GB2312" w:hAnsi="仿宋_GB2312" w:cs="仿宋_GB2312" w:eastAsia="仿宋_GB2312"/>
                      <w:sz w:val="21"/>
                      <w:color w:val="0000FF"/>
                    </w:rPr>
                    <w:t>2.枪机：彩色、红外、高像素（≥200万）、数字式、防护等级IP67；</w:t>
                  </w:r>
                </w:p>
                <w:p>
                  <w:pPr>
                    <w:pStyle w:val="null3"/>
                    <w:spacing w:after="120"/>
                    <w:jc w:val="left"/>
                  </w:pPr>
                  <w:r>
                    <w:rPr>
                      <w:rFonts w:ascii="仿宋_GB2312" w:hAnsi="仿宋_GB2312" w:cs="仿宋_GB2312" w:eastAsia="仿宋_GB2312"/>
                      <w:sz w:val="21"/>
                      <w:color w:val="0000FF"/>
                    </w:rPr>
                    <w:t>3.硬盘录像机：至少支持16路高清信号接入、高速以太网接口，支持高容量存储（≥8T）；</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6</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交通指挥系统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1.光强（cd）：≥4000/㎡</w:t>
                  </w:r>
                </w:p>
                <w:p>
                  <w:pPr>
                    <w:pStyle w:val="null3"/>
                    <w:spacing w:after="120"/>
                    <w:jc w:val="left"/>
                  </w:pPr>
                  <w:r>
                    <w:rPr>
                      <w:rFonts w:ascii="仿宋_GB2312" w:hAnsi="仿宋_GB2312" w:cs="仿宋_GB2312" w:eastAsia="仿宋_GB2312"/>
                      <w:sz w:val="21"/>
                      <w:color w:val="0000FF"/>
                    </w:rPr>
                    <w:t>2.有效视角（°）：左右30°，向下10°</w:t>
                  </w:r>
                </w:p>
                <w:p>
                  <w:pPr>
                    <w:pStyle w:val="null3"/>
                    <w:spacing w:after="120"/>
                    <w:jc w:val="left"/>
                  </w:pPr>
                  <w:r>
                    <w:rPr>
                      <w:rFonts w:ascii="仿宋_GB2312" w:hAnsi="仿宋_GB2312" w:cs="仿宋_GB2312" w:eastAsia="仿宋_GB2312"/>
                      <w:sz w:val="21"/>
                      <w:color w:val="0000FF"/>
                    </w:rPr>
                    <w:t>3.额定功率（W）：≤8</w:t>
                  </w:r>
                </w:p>
                <w:p>
                  <w:pPr>
                    <w:pStyle w:val="null3"/>
                    <w:spacing w:after="120"/>
                    <w:jc w:val="left"/>
                  </w:pPr>
                  <w:r>
                    <w:rPr>
                      <w:rFonts w:ascii="仿宋_GB2312" w:hAnsi="仿宋_GB2312" w:cs="仿宋_GB2312" w:eastAsia="仿宋_GB2312"/>
                      <w:sz w:val="21"/>
                      <w:color w:val="0000FF"/>
                    </w:rPr>
                    <w:t>4.工作温度（℃）-40-+80</w:t>
                  </w:r>
                </w:p>
                <w:p>
                  <w:pPr>
                    <w:pStyle w:val="null3"/>
                    <w:spacing w:after="120"/>
                    <w:jc w:val="left"/>
                  </w:pPr>
                  <w:r>
                    <w:rPr>
                      <w:rFonts w:ascii="仿宋_GB2312" w:hAnsi="仿宋_GB2312" w:cs="仿宋_GB2312" w:eastAsia="仿宋_GB2312"/>
                      <w:sz w:val="21"/>
                      <w:color w:val="0000FF"/>
                    </w:rPr>
                    <w:t>5.信号灯载流部件与安装表面之间绝缘电阻＞100MΩ。</w:t>
                  </w:r>
                  <w:r>
                    <w:rPr>
                      <w:rFonts w:ascii="仿宋_GB2312" w:hAnsi="仿宋_GB2312" w:cs="仿宋_GB2312" w:eastAsia="仿宋_GB2312"/>
                      <w:sz w:val="21"/>
                      <w:b/>
                      <w:color w:val="0000FF"/>
                    </w:rPr>
                    <w:t>（需提供检测报告证明）</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7</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语音广播系统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1.钟声提示主话筒：</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1）无级音量调节，（电池＋交流适配器）供电模式；</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2）鹅颈与底座可分开式；</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3）阻抗：≥600Ω；</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4）灵敏度：≥-60dB；</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5）频率响应：55-15KHz；</w:t>
                  </w:r>
                </w:p>
                <w:p>
                  <w:pPr>
                    <w:pStyle w:val="null3"/>
                    <w:spacing w:after="120"/>
                    <w:jc w:val="left"/>
                  </w:pPr>
                  <w:r>
                    <w:rPr>
                      <w:rFonts w:ascii="仿宋_GB2312" w:hAnsi="仿宋_GB2312" w:cs="仿宋_GB2312" w:eastAsia="仿宋_GB2312"/>
                      <w:sz w:val="21"/>
                      <w:color w:val="0000FF"/>
                    </w:rPr>
                    <w:t>2.音柱：</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1）外壳采用铝合金材，配可调节多种角度支架，安装方便，专业的表面处理工艺，防水防锈；</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2）额定功率：≥45W；</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3）最大功率：≥90W；</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4）输入电压：≥70/100V；</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5）频率响应: 120-17000HZ；</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6）灵敏度：≥96dB；</w:t>
                  </w:r>
                </w:p>
                <w:p>
                  <w:pPr>
                    <w:pStyle w:val="null3"/>
                    <w:spacing w:after="120"/>
                    <w:jc w:val="left"/>
                  </w:pPr>
                  <w:r>
                    <w:rPr>
                      <w:rFonts w:ascii="仿宋_GB2312" w:hAnsi="仿宋_GB2312" w:cs="仿宋_GB2312" w:eastAsia="仿宋_GB2312"/>
                      <w:sz w:val="21"/>
                      <w:color w:val="0000FF"/>
                    </w:rPr>
                    <w:t>3.功放：</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1）输出功率：≥150W；</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2）功耗：≥225W；</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3）频率响应：80Hz~18.5KHz；</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4）线路:≥0.45V/0.707VP/1.4VP-P（7Vmax）；</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5）话筒：≥0.01V/0.014Vp/0.28Vp-p(1Vmax)；</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6）同频信号输出幅度：标称≥1V，最大≥7V；</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7）静态：≥132dB；</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8）动态：≥98dB；</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9）冷却方式：温度伺式强制风冷；</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10）电源规格：≥220V，≥50/60Hz；</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8</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大屏显示系统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1.彩色液晶显示器（1个）：</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1）屏幕尺寸：≥65英寸；</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2）屏幕比例：16:9；</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3）屏幕分辨率：≥3840×2160；</w:t>
                  </w:r>
                </w:p>
                <w:p>
                  <w:pPr>
                    <w:pStyle w:val="null3"/>
                    <w:spacing w:after="120"/>
                    <w:jc w:val="left"/>
                  </w:pPr>
                  <w:r>
                    <w:rPr>
                      <w:rFonts w:ascii="仿宋_GB2312" w:hAnsi="仿宋_GB2312" w:cs="仿宋_GB2312" w:eastAsia="仿宋_GB2312"/>
                      <w:sz w:val="21"/>
                      <w:color w:val="0000FF"/>
                    </w:rPr>
                    <w:t>2.视频解码器（1台）：</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1）HDMI高清输入：≥ 6路，RJ45输入2路；HDMI高清输出：1路；</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2）单屏16画面分割；</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3）支持480p，576p，720p，1080i，1080p, 2160p分辨率.</w:t>
                  </w:r>
                </w:p>
                <w:p>
                  <w:pPr>
                    <w:pStyle w:val="null3"/>
                    <w:spacing w:after="120"/>
                    <w:jc w:val="left"/>
                  </w:pPr>
                  <w:r>
                    <w:rPr>
                      <w:rFonts w:ascii="仿宋_GB2312" w:hAnsi="仿宋_GB2312" w:cs="仿宋_GB2312" w:eastAsia="仿宋_GB2312"/>
                      <w:sz w:val="21"/>
                      <w:color w:val="0000FF"/>
                    </w:rPr>
                    <w:t>4.UPS应急电源（1个）：额定容量≥2400W；</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9</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负压抽风除臭系统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1.除尘器：</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1）过滤精度(mm)：≤1</w:t>
                  </w:r>
                </w:p>
                <w:p>
                  <w:pPr>
                    <w:pStyle w:val="null3"/>
                    <w:spacing w:after="120"/>
                    <w:jc w:val="left"/>
                  </w:pPr>
                  <w:r>
                    <w:rPr>
                      <w:rFonts w:ascii="仿宋_GB2312" w:hAnsi="仿宋_GB2312" w:cs="仿宋_GB2312" w:eastAsia="仿宋_GB2312"/>
                      <w:sz w:val="21"/>
                      <w:color w:val="0000FF"/>
                    </w:rPr>
                    <w:t>2.风机：</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1）材质：FRP</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2）风量(m3/h)：≥20000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3）功率(kW)：≥15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4）噪音(dB（A）)：≤90</w:t>
                  </w:r>
                </w:p>
                <w:p>
                  <w:pPr>
                    <w:pStyle w:val="null3"/>
                    <w:spacing w:after="120"/>
                    <w:jc w:val="left"/>
                  </w:pPr>
                  <w:r>
                    <w:rPr>
                      <w:rFonts w:ascii="仿宋_GB2312" w:hAnsi="仿宋_GB2312" w:cs="仿宋_GB2312" w:eastAsia="仿宋_GB2312"/>
                      <w:sz w:val="21"/>
                      <w:color w:val="0000FF"/>
                    </w:rPr>
                    <w:t>3.洗涤塔：</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1）材质：PP</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2）尺寸（mm）：≥Φ2000*5400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3）厚度（mm）：≥12</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4）填料厚度（mm）：≥1800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5）停留时间(s)：≥2.2s</w:t>
                  </w:r>
                </w:p>
                <w:p>
                  <w:pPr>
                    <w:pStyle w:val="null3"/>
                    <w:spacing w:after="120"/>
                    <w:jc w:val="left"/>
                  </w:pPr>
                  <w:r>
                    <w:rPr>
                      <w:rFonts w:ascii="仿宋_GB2312" w:hAnsi="仿宋_GB2312" w:cs="仿宋_GB2312" w:eastAsia="仿宋_GB2312"/>
                      <w:sz w:val="21"/>
                      <w:color w:val="0000FF"/>
                    </w:rPr>
                    <w:t>4.控制系统：</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1）触摸屏尺寸：≥7寸</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2）电压、流表：配备</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3）柜体材质：碳钢喷塑</w:t>
                  </w:r>
                </w:p>
                <w:p>
                  <w:pPr>
                    <w:pStyle w:val="null3"/>
                    <w:spacing w:after="120"/>
                    <w:jc w:val="left"/>
                  </w:pPr>
                  <w:r>
                    <w:rPr>
                      <w:rFonts w:ascii="仿宋_GB2312" w:hAnsi="仿宋_GB2312" w:cs="仿宋_GB2312" w:eastAsia="仿宋_GB2312"/>
                      <w:sz w:val="21"/>
                      <w:color w:val="0000FF"/>
                    </w:rPr>
                    <w:t>5.循环装置：</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1）循环泵：</w:t>
                  </w:r>
                </w:p>
                <w:p>
                  <w:pPr>
                    <w:pStyle w:val="null3"/>
                    <w:spacing w:after="120"/>
                    <w:jc w:val="left"/>
                  </w:pPr>
                  <w:r>
                    <w:rPr>
                      <w:rFonts w:ascii="仿宋_GB2312" w:hAnsi="仿宋_GB2312" w:cs="仿宋_GB2312" w:eastAsia="仿宋_GB2312"/>
                      <w:sz w:val="21"/>
                      <w:color w:val="0000FF"/>
                    </w:rPr>
                    <w:t>a.流量（L/min)：≥530</w:t>
                  </w:r>
                </w:p>
                <w:p>
                  <w:pPr>
                    <w:pStyle w:val="null3"/>
                    <w:spacing w:after="120"/>
                    <w:jc w:val="left"/>
                  </w:pPr>
                  <w:r>
                    <w:rPr>
                      <w:rFonts w:ascii="仿宋_GB2312" w:hAnsi="仿宋_GB2312" w:cs="仿宋_GB2312" w:eastAsia="仿宋_GB2312"/>
                      <w:sz w:val="21"/>
                      <w:color w:val="0000FF"/>
                    </w:rPr>
                    <w:t>b.扬程（m）：≥27</w:t>
                  </w:r>
                </w:p>
                <w:p>
                  <w:pPr>
                    <w:pStyle w:val="null3"/>
                    <w:spacing w:after="120"/>
                    <w:jc w:val="left"/>
                  </w:pPr>
                  <w:r>
                    <w:rPr>
                      <w:rFonts w:ascii="仿宋_GB2312" w:hAnsi="仿宋_GB2312" w:cs="仿宋_GB2312" w:eastAsia="仿宋_GB2312"/>
                      <w:sz w:val="21"/>
                      <w:color w:val="0000FF"/>
                    </w:rPr>
                    <w:t>c.功率(kW)：≥5.5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2）循环管路：</w:t>
                  </w:r>
                </w:p>
                <w:p>
                  <w:pPr>
                    <w:pStyle w:val="null3"/>
                    <w:spacing w:after="120"/>
                    <w:jc w:val="left"/>
                  </w:pPr>
                  <w:r>
                    <w:rPr>
                      <w:rFonts w:ascii="仿宋_GB2312" w:hAnsi="仿宋_GB2312" w:cs="仿宋_GB2312" w:eastAsia="仿宋_GB2312"/>
                      <w:sz w:val="21"/>
                      <w:color w:val="0000FF"/>
                    </w:rPr>
                    <w:t>a.规格：≥DN50</w:t>
                  </w:r>
                </w:p>
                <w:p>
                  <w:pPr>
                    <w:pStyle w:val="null3"/>
                    <w:spacing w:after="120"/>
                    <w:jc w:val="left"/>
                  </w:pPr>
                  <w:r>
                    <w:rPr>
                      <w:rFonts w:ascii="仿宋_GB2312" w:hAnsi="仿宋_GB2312" w:cs="仿宋_GB2312" w:eastAsia="仿宋_GB2312"/>
                      <w:sz w:val="21"/>
                      <w:color w:val="0000FF"/>
                    </w:rPr>
                    <w:t>b.流量计：配备</w:t>
                  </w:r>
                </w:p>
                <w:p>
                  <w:pPr>
                    <w:pStyle w:val="null3"/>
                    <w:spacing w:after="120"/>
                    <w:jc w:val="left"/>
                  </w:pPr>
                  <w:r>
                    <w:rPr>
                      <w:rFonts w:ascii="仿宋_GB2312" w:hAnsi="仿宋_GB2312" w:cs="仿宋_GB2312" w:eastAsia="仿宋_GB2312"/>
                      <w:sz w:val="21"/>
                      <w:color w:val="0000FF"/>
                    </w:rPr>
                    <w:t>6.除雾器：</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1）除雾效率：≥80%</w:t>
                  </w:r>
                </w:p>
                <w:p>
                  <w:pPr>
                    <w:pStyle w:val="null3"/>
                    <w:spacing w:after="120"/>
                    <w:jc w:val="left"/>
                  </w:pPr>
                  <w:r>
                    <w:rPr>
                      <w:rFonts w:ascii="仿宋_GB2312" w:hAnsi="仿宋_GB2312" w:cs="仿宋_GB2312" w:eastAsia="仿宋_GB2312"/>
                      <w:sz w:val="21"/>
                      <w:color w:val="0000FF"/>
                    </w:rPr>
                    <w:t>7.风阀：</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1）控制方式：电动、可控制开启角度</w:t>
                  </w:r>
                </w:p>
                <w:p>
                  <w:pPr>
                    <w:pStyle w:val="null3"/>
                    <w:spacing w:after="120"/>
                    <w:jc w:val="left"/>
                  </w:pPr>
                  <w:r>
                    <w:rPr>
                      <w:rFonts w:ascii="仿宋_GB2312" w:hAnsi="仿宋_GB2312" w:cs="仿宋_GB2312" w:eastAsia="仿宋_GB2312"/>
                      <w:sz w:val="21"/>
                      <w:color w:val="0000FF"/>
                    </w:rPr>
                    <w:t>8.烟囱：</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1）烟囱高度（m）：≥15</w:t>
                  </w:r>
                </w:p>
                <w:p>
                  <w:pPr>
                    <w:pStyle w:val="null3"/>
                    <w:spacing w:after="120"/>
                    <w:jc w:val="left"/>
                  </w:pPr>
                  <w:r>
                    <w:rPr>
                      <w:rFonts w:ascii="仿宋_GB2312" w:hAnsi="仿宋_GB2312" w:cs="仿宋_GB2312" w:eastAsia="仿宋_GB2312"/>
                      <w:sz w:val="21"/>
                      <w:color w:val="0000FF"/>
                    </w:rPr>
                    <w:t>9.风管：</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1）主风管规格（mm）：≥Φ800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2）材质：PP</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料口喷淋降尘系统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1.雾化喷嘴：</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1）流量(L/min)：≥0.15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2）通径(mm)：≥0.15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3）雾化粒径(mm)：≤0.8</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4）雾化半径(mm)：≥1500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5）喷淋方式：高压雾化</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6）喷嘴数量（个）：≥10</w:t>
                  </w:r>
                </w:p>
                <w:p>
                  <w:pPr>
                    <w:pStyle w:val="null3"/>
                    <w:spacing w:after="120"/>
                    <w:jc w:val="left"/>
                  </w:pPr>
                  <w:r>
                    <w:rPr>
                      <w:rFonts w:ascii="仿宋_GB2312" w:hAnsi="仿宋_GB2312" w:cs="仿宋_GB2312" w:eastAsia="仿宋_GB2312"/>
                      <w:sz w:val="21"/>
                      <w:color w:val="0000FF"/>
                    </w:rPr>
                    <w:t>2.雾化泵：</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1）流量（L/min）：≥4</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2）压力(bar)：≥70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3）功率（kW）：≥0.75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4）泵头材质：铜镍</w:t>
                  </w:r>
                </w:p>
                <w:p>
                  <w:pPr>
                    <w:pStyle w:val="null3"/>
                    <w:spacing w:after="120"/>
                    <w:jc w:val="left"/>
                  </w:pPr>
                  <w:r>
                    <w:rPr>
                      <w:rFonts w:ascii="仿宋_GB2312" w:hAnsi="仿宋_GB2312" w:cs="仿宋_GB2312" w:eastAsia="仿宋_GB2312"/>
                      <w:sz w:val="21"/>
                      <w:color w:val="0000FF"/>
                    </w:rPr>
                    <w:t>3.自动配药系统：</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1）混液箱规格（L）：≥55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2）药液箱规格（L）：≥28</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3）加药泵驱动方式：电驱</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4）液位控制：浮球式液位计</w:t>
                  </w:r>
                </w:p>
                <w:p>
                  <w:pPr>
                    <w:pStyle w:val="null3"/>
                    <w:spacing w:after="120"/>
                    <w:jc w:val="left"/>
                  </w:pPr>
                  <w:r>
                    <w:rPr>
                      <w:rFonts w:ascii="仿宋_GB2312" w:hAnsi="仿宋_GB2312" w:cs="仿宋_GB2312" w:eastAsia="仿宋_GB2312"/>
                      <w:sz w:val="21"/>
                      <w:color w:val="0000FF"/>
                    </w:rPr>
                    <w:t>4.控制系统：</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1）高压电磁阀：1/4"常闭型，1组1个</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2）控制柜尺寸：≥800mm×430mm×1700mm</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3）触摸屏尺寸：≥7寸</w:t>
                  </w:r>
                </w:p>
                <w:p>
                  <w:pPr>
                    <w:pStyle w:val="null3"/>
                    <w:spacing w:after="120"/>
                    <w:jc w:val="left"/>
                  </w:pPr>
                  <w:r>
                    <w:rPr>
                      <w:rFonts w:ascii="仿宋_GB2312" w:hAnsi="仿宋_GB2312" w:cs="仿宋_GB2312" w:eastAsia="仿宋_GB2312"/>
                      <w:sz w:val="21"/>
                      <w:color w:val="0000FF"/>
                    </w:rPr>
                    <w:t>5.喷淋管道：</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1）规格（mm）：≥Φ9.52×0.8</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2）材质：SUS304</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3）数量（m）：≥5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4）管道连接方式：带半圆锁片，螺母连接，不锈钢管两头开有半圆锁片固定孔，防脱管。</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11</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空间喷淋除臭系统</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1.雾化喷嘴：</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1）流量(L/min)：≥0.076</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2）通径(mm)：≥0.15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3）雾化粒径(mm)：≤0.04</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4）雾化半径(mm)：≥1500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5）喷淋方式：高压雾化</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6）喷嘴数量（个）：≥60</w:t>
                  </w:r>
                </w:p>
                <w:p>
                  <w:pPr>
                    <w:pStyle w:val="null3"/>
                    <w:spacing w:after="120"/>
                    <w:jc w:val="left"/>
                  </w:pPr>
                  <w:r>
                    <w:rPr>
                      <w:rFonts w:ascii="仿宋_GB2312" w:hAnsi="仿宋_GB2312" w:cs="仿宋_GB2312" w:eastAsia="仿宋_GB2312"/>
                      <w:sz w:val="21"/>
                      <w:color w:val="0000FF"/>
                    </w:rPr>
                    <w:t>2.雾化泵：</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1）流量（L/min）：≥4</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2）压力(bar)：70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3）功率（kW）：≥0.75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4）泵头材质：铜镍</w:t>
                  </w:r>
                </w:p>
                <w:p>
                  <w:pPr>
                    <w:pStyle w:val="null3"/>
                    <w:spacing w:after="120"/>
                    <w:jc w:val="left"/>
                  </w:pPr>
                  <w:r>
                    <w:rPr>
                      <w:rFonts w:ascii="仿宋_GB2312" w:hAnsi="仿宋_GB2312" w:cs="仿宋_GB2312" w:eastAsia="仿宋_GB2312"/>
                      <w:sz w:val="21"/>
                      <w:color w:val="0000FF"/>
                    </w:rPr>
                    <w:t>3.自动配药系统：</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1）混液箱规格（L）：≥55</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2）药液箱规格（L）：≥28</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3）加药泵驱动方式：电驱</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4）液位控制：浮球式液位计</w:t>
                  </w:r>
                </w:p>
                <w:p>
                  <w:pPr>
                    <w:pStyle w:val="null3"/>
                    <w:spacing w:after="120"/>
                    <w:jc w:val="left"/>
                  </w:pPr>
                  <w:r>
                    <w:rPr>
                      <w:rFonts w:ascii="仿宋_GB2312" w:hAnsi="仿宋_GB2312" w:cs="仿宋_GB2312" w:eastAsia="仿宋_GB2312"/>
                      <w:sz w:val="21"/>
                      <w:color w:val="0000FF"/>
                    </w:rPr>
                    <w:t>4.控制系统：</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1）高压电磁阀：1/4"常闭型，1组1个</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2）控制柜尺寸：≥800mm×430mm×1700mm</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3）触摸屏尺寸：≥7寸</w:t>
                  </w:r>
                </w:p>
                <w:p>
                  <w:pPr>
                    <w:pStyle w:val="null3"/>
                    <w:spacing w:after="120"/>
                    <w:jc w:val="left"/>
                  </w:pPr>
                  <w:r>
                    <w:rPr>
                      <w:rFonts w:ascii="仿宋_GB2312" w:hAnsi="仿宋_GB2312" w:cs="仿宋_GB2312" w:eastAsia="仿宋_GB2312"/>
                      <w:sz w:val="21"/>
                      <w:color w:val="0000FF"/>
                    </w:rPr>
                    <w:t>5.喷淋管道：</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1）规格（mm）：≥Φ9.52×0.8</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2）材质：SUS304</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3）数量（m）：≥20</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4）管道连接方式：带半圆锁片，螺母连接，不锈钢管两头开有半圆锁片固定孔，防脱管。</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12</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快速卷帘门</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1、动力系统： ≥1390 转/分，F：IP55；电机功率为≥1.5KW，≥220V， 能够承载大负荷，高效低噪音。</w:t>
                  </w:r>
                </w:p>
                <w:p>
                  <w:pPr>
                    <w:pStyle w:val="null3"/>
                    <w:spacing w:after="120"/>
                    <w:jc w:val="left"/>
                  </w:pPr>
                  <w:r>
                    <w:rPr>
                      <w:rFonts w:ascii="仿宋_GB2312" w:hAnsi="仿宋_GB2312" w:cs="仿宋_GB2312" w:eastAsia="仿宋_GB2312"/>
                      <w:sz w:val="21"/>
                      <w:color w:val="0000FF"/>
                    </w:rPr>
                    <w:t>2、控制系统：变频控制系统，PLC 电脑编制程序控制，1.5KW；同时还具有软启动、缓停止功能，保证门体运转平稳增加使用寿命。</w:t>
                  </w:r>
                </w:p>
                <w:p>
                  <w:pPr>
                    <w:pStyle w:val="null3"/>
                    <w:spacing w:after="120"/>
                    <w:jc w:val="left"/>
                  </w:pPr>
                  <w:r>
                    <w:rPr>
                      <w:rFonts w:ascii="仿宋_GB2312" w:hAnsi="仿宋_GB2312" w:cs="仿宋_GB2312" w:eastAsia="仿宋_GB2312"/>
                      <w:sz w:val="21"/>
                      <w:color w:val="0000FF"/>
                    </w:rPr>
                    <w:t>3、门体结构：采用厚≥2.5mm 优质冷轧钢板，表面经高温粉末静电喷涂工艺处理，门框滑内置三乙丙高密度防尘固定型胶条，具有防尘，防虫、密封等作用。</w:t>
                  </w:r>
                </w:p>
                <w:p>
                  <w:pPr>
                    <w:pStyle w:val="null3"/>
                    <w:spacing w:after="120"/>
                    <w:jc w:val="left"/>
                  </w:pPr>
                  <w:r>
                    <w:rPr>
                      <w:rFonts w:ascii="仿宋_GB2312" w:hAnsi="仿宋_GB2312" w:cs="仿宋_GB2312" w:eastAsia="仿宋_GB2312"/>
                      <w:sz w:val="21"/>
                      <w:color w:val="0000FF"/>
                    </w:rPr>
                    <w:t>4、快速卷门布帘（蓝色）：高强度工业基布≥0.8mm厚，高密度低纱聚酯丝PVDF 涂层的涤纶网带与流线型的玻璃纤维加固涤纶组成；适用温度：-40℃+85℃，色牢度≥9 级。织法：P3/3。防火级别：B1 级</w:t>
                  </w:r>
                </w:p>
                <w:p>
                  <w:pPr>
                    <w:pStyle w:val="null3"/>
                    <w:spacing w:after="120"/>
                    <w:jc w:val="left"/>
                  </w:pPr>
                  <w:r>
                    <w:rPr>
                      <w:rFonts w:ascii="仿宋_GB2312" w:hAnsi="仿宋_GB2312" w:cs="仿宋_GB2312" w:eastAsia="仿宋_GB2312"/>
                      <w:sz w:val="21"/>
                      <w:color w:val="0000FF"/>
                    </w:rPr>
                    <w:t>5、抗风效果：高强度抗氧化铝合金抗风杆，可使门帘达到高强度抗风压效果。分段式铝合金具有加强抗风性能，同时还具备布帘分段式抽换更新功能。</w:t>
                  </w:r>
                </w:p>
                <w:p>
                  <w:pPr>
                    <w:pStyle w:val="null3"/>
                    <w:spacing w:after="120"/>
                    <w:jc w:val="left"/>
                  </w:pPr>
                  <w:r>
                    <w:rPr>
                      <w:rFonts w:ascii="仿宋_GB2312" w:hAnsi="仿宋_GB2312" w:cs="仿宋_GB2312" w:eastAsia="仿宋_GB2312"/>
                      <w:sz w:val="21"/>
                      <w:color w:val="0000FF"/>
                    </w:rPr>
                    <w:t>6、透视方式：中间加有横向透明视窗，厚度≥1.2mm。</w:t>
                  </w:r>
                </w:p>
                <w:p>
                  <w:pPr>
                    <w:pStyle w:val="null3"/>
                    <w:spacing w:after="120"/>
                    <w:jc w:val="left"/>
                  </w:pPr>
                  <w:r>
                    <w:rPr>
                      <w:rFonts w:ascii="仿宋_GB2312" w:hAnsi="仿宋_GB2312" w:cs="仿宋_GB2312" w:eastAsia="仿宋_GB2312"/>
                      <w:sz w:val="21"/>
                      <w:color w:val="0000FF"/>
                    </w:rPr>
                    <w:t>7、密封性能：底端装有加重隔气布,可与各种不平坦的地面严密结合。</w:t>
                  </w:r>
                </w:p>
                <w:p>
                  <w:pPr>
                    <w:pStyle w:val="null3"/>
                    <w:spacing w:after="120"/>
                    <w:jc w:val="left"/>
                  </w:pPr>
                  <w:r>
                    <w:rPr>
                      <w:rFonts w:ascii="仿宋_GB2312" w:hAnsi="仿宋_GB2312" w:cs="仿宋_GB2312" w:eastAsia="仿宋_GB2312"/>
                      <w:sz w:val="21"/>
                      <w:color w:val="0000FF"/>
                    </w:rPr>
                    <w:t>8、安全性能：</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1）红外安保：每樘门装有一套光电保护系统，防止卷门落下碰到行人或车辆。</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2）无线安全气囊：门在下落过程中碰到人或物体时可自动返回。</w:t>
                  </w:r>
                </w:p>
                <w:p>
                  <w:pPr>
                    <w:pStyle w:val="null3"/>
                    <w:spacing w:after="120"/>
                    <w:jc w:val="left"/>
                  </w:pPr>
                  <w:r>
                    <w:rPr>
                      <w:rFonts w:ascii="仿宋_GB2312" w:hAnsi="仿宋_GB2312" w:cs="仿宋_GB2312" w:eastAsia="仿宋_GB2312"/>
                      <w:sz w:val="21"/>
                      <w:color w:val="0000FF"/>
                    </w:rPr>
                    <w:t>9、开启装置：</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1）双面按钮：每樘门内加装 1 套副开关开启按钮便于使用及管理。</w:t>
                  </w:r>
                </w:p>
                <w:p>
                  <w:pPr>
                    <w:pStyle w:val="null3"/>
                    <w:spacing w:after="120"/>
                    <w:jc w:val="left"/>
                  </w:pPr>
                  <w:r>
                    <w:rPr>
                      <w:rFonts w:ascii="仿宋_GB2312" w:hAnsi="仿宋_GB2312" w:cs="仿宋_GB2312" w:eastAsia="仿宋_GB2312"/>
                      <w:sz w:val="21"/>
                      <w:color w:val="0000FF"/>
                    </w:rPr>
                    <w:t>（</w:t>
                  </w:r>
                  <w:r>
                    <w:rPr>
                      <w:rFonts w:ascii="仿宋_GB2312" w:hAnsi="仿宋_GB2312" w:cs="仿宋_GB2312" w:eastAsia="仿宋_GB2312"/>
                      <w:sz w:val="21"/>
                      <w:color w:val="0000FF"/>
                    </w:rPr>
                    <w:t>2）自动地磁:  感应移动的金属物体，感应范围及灵敏度可预设。</w:t>
                  </w:r>
                </w:p>
                <w:p>
                  <w:pPr>
                    <w:pStyle w:val="null3"/>
                    <w:spacing w:after="120"/>
                    <w:jc w:val="left"/>
                  </w:pPr>
                  <w:r>
                    <w:rPr>
                      <w:rFonts w:ascii="仿宋_GB2312" w:hAnsi="仿宋_GB2312" w:cs="仿宋_GB2312" w:eastAsia="仿宋_GB2312"/>
                      <w:sz w:val="21"/>
                      <w:color w:val="0000FF"/>
                    </w:rPr>
                    <w:t>10、开启速度：0.8-1.5 米/秒</w:t>
                  </w:r>
                </w:p>
                <w:p>
                  <w:pPr>
                    <w:pStyle w:val="null3"/>
                    <w:spacing w:after="120"/>
                    <w:jc w:val="left"/>
                  </w:pPr>
                  <w:r>
                    <w:rPr>
                      <w:rFonts w:ascii="仿宋_GB2312" w:hAnsi="仿宋_GB2312" w:cs="仿宋_GB2312" w:eastAsia="仿宋_GB2312"/>
                      <w:sz w:val="21"/>
                      <w:color w:val="0000FF"/>
                    </w:rPr>
                    <w:t>11、应急开启装置：每樘卷门配有紧急开门装置即手动摇杆，如停电及人为使卷门不能运转时，可使用手动摇杆将卷门开启或关闭。</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13</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风幕机</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12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FF"/>
                    </w:rPr>
                    <w:t>1.出风口风速：≥20m/s；</w:t>
                  </w:r>
                </w:p>
                <w:p>
                  <w:pPr>
                    <w:pStyle w:val="null3"/>
                    <w:jc w:val="left"/>
                  </w:pPr>
                  <w:r>
                    <w:rPr>
                      <w:rFonts w:ascii="仿宋_GB2312" w:hAnsi="仿宋_GB2312" w:cs="仿宋_GB2312" w:eastAsia="仿宋_GB2312"/>
                      <w:sz w:val="21"/>
                      <w:color w:val="0000FF"/>
                    </w:rPr>
                    <w:t>2.风量：≥2950m³/h。</w:t>
                  </w:r>
                </w:p>
                <w:p>
                  <w:pPr>
                    <w:pStyle w:val="null3"/>
                    <w:spacing w:after="120"/>
                    <w:jc w:val="left"/>
                  </w:pPr>
                  <w:r>
                    <w:rPr>
                      <w:rFonts w:ascii="仿宋_GB2312" w:hAnsi="仿宋_GB2312" w:cs="仿宋_GB2312" w:eastAsia="仿宋_GB2312"/>
                      <w:sz w:val="21"/>
                      <w:color w:val="0000FF"/>
                    </w:rPr>
                    <w:t>3.功率：≤0.7kw</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高压清洗机</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FF"/>
                    </w:rPr>
                    <w:t>1.电压(V):≥220</w:t>
                  </w:r>
                </w:p>
                <w:p>
                  <w:pPr>
                    <w:pStyle w:val="null3"/>
                    <w:jc w:val="left"/>
                  </w:pPr>
                  <w:r>
                    <w:rPr>
                      <w:rFonts w:ascii="仿宋_GB2312" w:hAnsi="仿宋_GB2312" w:cs="仿宋_GB2312" w:eastAsia="仿宋_GB2312"/>
                      <w:sz w:val="21"/>
                      <w:color w:val="0000FF"/>
                    </w:rPr>
                    <w:t>2.功率(Kw)：≥2.0</w:t>
                  </w:r>
                </w:p>
                <w:p>
                  <w:pPr>
                    <w:pStyle w:val="null3"/>
                    <w:jc w:val="left"/>
                  </w:pPr>
                  <w:r>
                    <w:rPr>
                      <w:rFonts w:ascii="仿宋_GB2312" w:hAnsi="仿宋_GB2312" w:cs="仿宋_GB2312" w:eastAsia="仿宋_GB2312"/>
                      <w:sz w:val="21"/>
                      <w:color w:val="0000FF"/>
                    </w:rPr>
                    <w:t>3.系统压力(MPa):≥5</w:t>
                  </w:r>
                </w:p>
                <w:p>
                  <w:pPr>
                    <w:pStyle w:val="null3"/>
                    <w:spacing w:after="120"/>
                    <w:jc w:val="left"/>
                  </w:pPr>
                  <w:r>
                    <w:rPr>
                      <w:rFonts w:ascii="仿宋_GB2312" w:hAnsi="仿宋_GB2312" w:cs="仿宋_GB2312" w:eastAsia="仿宋_GB2312"/>
                      <w:sz w:val="21"/>
                      <w:color w:val="0000FF"/>
                    </w:rPr>
                    <w:t>4.最大出水量(L/min):≥20</w:t>
                  </w:r>
                </w:p>
              </w:tc>
            </w:tr>
            <w:tr>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25吨</w:t>
                  </w:r>
                  <w:r>
                    <w:rPr>
                      <w:rFonts w:ascii="仿宋_GB2312" w:hAnsi="仿宋_GB2312" w:cs="仿宋_GB2312" w:eastAsia="仿宋_GB2312"/>
                      <w:sz w:val="21"/>
                      <w:color w:val="0000FF"/>
                    </w:rPr>
                    <w:t>车厢可卸式垃圾车</w:t>
                  </w:r>
                </w:p>
              </w:tc>
              <w:tc>
                <w:tcPr>
                  <w:tcW w:type="dxa" w:w="2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w:t>
                  </w:r>
                </w:p>
              </w:tc>
              <w:tc>
                <w:tcPr>
                  <w:tcW w:type="dxa" w:w="1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1.底盘类别：二类载货汽车底盘</w:t>
                  </w:r>
                </w:p>
                <w:p>
                  <w:pPr>
                    <w:pStyle w:val="null3"/>
                    <w:spacing w:after="120"/>
                    <w:jc w:val="left"/>
                  </w:pPr>
                  <w:r>
                    <w:rPr>
                      <w:rFonts w:ascii="仿宋_GB2312" w:hAnsi="仿宋_GB2312" w:cs="仿宋_GB2312" w:eastAsia="仿宋_GB2312"/>
                      <w:sz w:val="21"/>
                      <w:color w:val="0000FF"/>
                    </w:rPr>
                    <w:t>2.柴油发动机额定功率（kW）：≥220</w:t>
                  </w:r>
                </w:p>
                <w:p>
                  <w:pPr>
                    <w:pStyle w:val="null3"/>
                    <w:spacing w:after="120"/>
                    <w:jc w:val="left"/>
                  </w:pPr>
                  <w:r>
                    <w:rPr>
                      <w:rFonts w:ascii="仿宋_GB2312" w:hAnsi="仿宋_GB2312" w:cs="仿宋_GB2312" w:eastAsia="仿宋_GB2312"/>
                      <w:sz w:val="21"/>
                      <w:color w:val="0000FF"/>
                    </w:rPr>
                    <w:t>3.排放标准：国Ⅵ</w:t>
                  </w:r>
                </w:p>
                <w:p>
                  <w:pPr>
                    <w:pStyle w:val="null3"/>
                    <w:spacing w:after="120"/>
                    <w:jc w:val="left"/>
                  </w:pPr>
                  <w:r>
                    <w:rPr>
                      <w:rFonts w:ascii="仿宋_GB2312" w:hAnsi="仿宋_GB2312" w:cs="仿宋_GB2312" w:eastAsia="仿宋_GB2312"/>
                      <w:sz w:val="21"/>
                      <w:color w:val="0000FF"/>
                    </w:rPr>
                    <w:t>4.总质量（kg）：≥25000</w:t>
                  </w:r>
                </w:p>
                <w:p>
                  <w:pPr>
                    <w:pStyle w:val="null3"/>
                    <w:spacing w:after="120"/>
                    <w:jc w:val="left"/>
                  </w:pPr>
                  <w:r>
                    <w:rPr>
                      <w:rFonts w:ascii="仿宋_GB2312" w:hAnsi="仿宋_GB2312" w:cs="仿宋_GB2312" w:eastAsia="仿宋_GB2312"/>
                      <w:sz w:val="21"/>
                      <w:color w:val="0000FF"/>
                    </w:rPr>
                    <w:t>5.整备质量（kg）：≥11100</w:t>
                  </w:r>
                </w:p>
                <w:p>
                  <w:pPr>
                    <w:pStyle w:val="null3"/>
                    <w:spacing w:after="120"/>
                    <w:jc w:val="left"/>
                  </w:pPr>
                  <w:r>
                    <w:rPr>
                      <w:rFonts w:ascii="仿宋_GB2312" w:hAnsi="仿宋_GB2312" w:cs="仿宋_GB2312" w:eastAsia="仿宋_GB2312"/>
                      <w:sz w:val="21"/>
                      <w:color w:val="0000FF"/>
                    </w:rPr>
                    <w:t>6.额定载质量（kg）：≥13600</w:t>
                  </w:r>
                </w:p>
                <w:p>
                  <w:pPr>
                    <w:pStyle w:val="null3"/>
                    <w:spacing w:after="120"/>
                    <w:jc w:val="left"/>
                  </w:pPr>
                  <w:r>
                    <w:rPr>
                      <w:rFonts w:ascii="仿宋_GB2312" w:hAnsi="仿宋_GB2312" w:cs="仿宋_GB2312" w:eastAsia="仿宋_GB2312"/>
                      <w:sz w:val="21"/>
                      <w:color w:val="0000FF"/>
                    </w:rPr>
                    <w:t>7.外形尺寸（长×宽×高）（mm）：≥8400×2530×3070</w:t>
                  </w:r>
                </w:p>
                <w:p>
                  <w:pPr>
                    <w:pStyle w:val="null3"/>
                    <w:spacing w:after="120"/>
                    <w:jc w:val="left"/>
                  </w:pPr>
                  <w:r>
                    <w:rPr>
                      <w:rFonts w:ascii="仿宋_GB2312" w:hAnsi="仿宋_GB2312" w:cs="仿宋_GB2312" w:eastAsia="仿宋_GB2312"/>
                      <w:sz w:val="21"/>
                      <w:color w:val="0000FF"/>
                    </w:rPr>
                    <w:t>8.前悬/后悬（mm）：≤1400/1350</w:t>
                  </w:r>
                </w:p>
                <w:p>
                  <w:pPr>
                    <w:pStyle w:val="null3"/>
                    <w:spacing w:after="120"/>
                    <w:jc w:val="left"/>
                  </w:pPr>
                  <w:r>
                    <w:rPr>
                      <w:rFonts w:ascii="仿宋_GB2312" w:hAnsi="仿宋_GB2312" w:cs="仿宋_GB2312" w:eastAsia="仿宋_GB2312"/>
                      <w:sz w:val="21"/>
                      <w:color w:val="0000FF"/>
                    </w:rPr>
                    <w:t>9.接近角/离去角（°）：≥19/20</w:t>
                  </w:r>
                </w:p>
                <w:p>
                  <w:pPr>
                    <w:pStyle w:val="null3"/>
                    <w:spacing w:after="120"/>
                    <w:jc w:val="left"/>
                  </w:pPr>
                  <w:r>
                    <w:rPr>
                      <w:rFonts w:ascii="仿宋_GB2312" w:hAnsi="仿宋_GB2312" w:cs="仿宋_GB2312" w:eastAsia="仿宋_GB2312"/>
                      <w:sz w:val="21"/>
                      <w:color w:val="0000FF"/>
                    </w:rPr>
                    <w:t>10.最高车速（km/h）：≥89</w:t>
                  </w:r>
                </w:p>
                <w:p>
                  <w:pPr>
                    <w:pStyle w:val="null3"/>
                    <w:spacing w:after="120"/>
                    <w:jc w:val="left"/>
                  </w:pPr>
                  <w:r>
                    <w:rPr>
                      <w:rFonts w:ascii="仿宋_GB2312" w:hAnsi="仿宋_GB2312" w:cs="仿宋_GB2312" w:eastAsia="仿宋_GB2312"/>
                      <w:sz w:val="21"/>
                      <w:color w:val="0000FF"/>
                    </w:rPr>
                    <w:t>11.轴距（mm）：≤4400+1350</w:t>
                  </w:r>
                </w:p>
                <w:p>
                  <w:pPr>
                    <w:pStyle w:val="null3"/>
                    <w:spacing w:after="120"/>
                    <w:jc w:val="left"/>
                  </w:pPr>
                  <w:r>
                    <w:rPr>
                      <w:rFonts w:ascii="仿宋_GB2312" w:hAnsi="仿宋_GB2312" w:cs="仿宋_GB2312" w:eastAsia="仿宋_GB2312"/>
                      <w:sz w:val="21"/>
                      <w:color w:val="0000FF"/>
                    </w:rPr>
                    <w:t>12.装箱工作时间（s）：≤60</w:t>
                  </w:r>
                </w:p>
                <w:p>
                  <w:pPr>
                    <w:pStyle w:val="null3"/>
                    <w:spacing w:after="120"/>
                    <w:jc w:val="left"/>
                  </w:pPr>
                  <w:r>
                    <w:rPr>
                      <w:rFonts w:ascii="仿宋_GB2312" w:hAnsi="仿宋_GB2312" w:cs="仿宋_GB2312" w:eastAsia="仿宋_GB2312"/>
                      <w:sz w:val="21"/>
                      <w:color w:val="0000FF"/>
                    </w:rPr>
                    <w:t>13.钩臂系统最大起重能力（t）：≥20</w:t>
                  </w:r>
                </w:p>
                <w:p>
                  <w:pPr>
                    <w:pStyle w:val="null3"/>
                    <w:spacing w:after="120"/>
                    <w:jc w:val="left"/>
                  </w:pPr>
                  <w:r>
                    <w:rPr>
                      <w:rFonts w:ascii="仿宋_GB2312" w:hAnsi="仿宋_GB2312" w:cs="仿宋_GB2312" w:eastAsia="仿宋_GB2312"/>
                      <w:sz w:val="21"/>
                      <w:color w:val="0000FF"/>
                    </w:rPr>
                    <w:t>14.驾驶室：配原厂冷暖空调</w:t>
                  </w:r>
                </w:p>
              </w:tc>
            </w:tr>
          </w:tbl>
          <w:p>
            <w:pPr>
              <w:pStyle w:val="null3"/>
            </w:pPr>
            <w:r>
              <w:rPr>
                <w:rFonts w:ascii="仿宋_GB2312" w:hAnsi="仿宋_GB2312" w:cs="仿宋_GB2312" w:eastAsia="仿宋_GB2312"/>
                <w:sz w:val="21"/>
                <w:b/>
                <w:color w:val="0000FF"/>
              </w:rPr>
              <w:t>备注：</w:t>
            </w:r>
            <w:r>
              <w:rPr>
                <w:rFonts w:ascii="仿宋_GB2312" w:hAnsi="仿宋_GB2312" w:cs="仿宋_GB2312" w:eastAsia="仿宋_GB2312"/>
                <w:sz w:val="21"/>
                <w:b/>
                <w:color w:val="0000FF"/>
              </w:rPr>
              <w:t>1、本项目核心产品为：</w:t>
            </w:r>
            <w:r>
              <w:rPr>
                <w:rFonts w:ascii="仿宋_GB2312" w:hAnsi="仿宋_GB2312" w:cs="仿宋_GB2312" w:eastAsia="仿宋_GB2312"/>
                <w:sz w:val="21"/>
                <w:b/>
                <w:color w:val="0000FF"/>
              </w:rPr>
              <w:t>水平直压式压缩机</w:t>
            </w:r>
            <w:r>
              <w:rPr>
                <w:rFonts w:ascii="仿宋_GB2312" w:hAnsi="仿宋_GB2312" w:cs="仿宋_GB2312" w:eastAsia="仿宋_GB2312"/>
                <w:sz w:val="21"/>
                <w:b/>
                <w:color w:val="0000FF"/>
              </w:rPr>
              <w:t>。如通过初审的有效供应商拟供核心产品的品牌相同，按照《政府采购货物和服务招标投标管理办法》（第</w:t>
            </w:r>
            <w:r>
              <w:rPr>
                <w:rFonts w:ascii="仿宋_GB2312" w:hAnsi="仿宋_GB2312" w:cs="仿宋_GB2312" w:eastAsia="仿宋_GB2312"/>
                <w:sz w:val="21"/>
                <w:b/>
                <w:color w:val="0000FF"/>
              </w:rPr>
              <w:t>87号令）规定，提供相同核心品牌产品且通过资格审查、符合性审查的不同供应商参加同一合同项下投标的，按一家供应商计算，评审后得分最高的同品牌供应商获得中标人推荐资格；评审得分相同的，以“培训及售后服务”得分高的优先，其他同品牌供应商不作为中标候选人。</w:t>
            </w:r>
          </w:p>
          <w:p>
            <w:pPr>
              <w:pStyle w:val="null3"/>
            </w:pPr>
            <w:r>
              <w:rPr>
                <w:rFonts w:ascii="仿宋_GB2312" w:hAnsi="仿宋_GB2312" w:cs="仿宋_GB2312" w:eastAsia="仿宋_GB2312"/>
                <w:sz w:val="21"/>
                <w:b/>
                <w:color w:val="0000FF"/>
              </w:rPr>
              <w:t>2、供应商拟供车型必须在国家工业和信息化部发布的《车辆生产企业及产品》公告内，须提供查询截图，未提供按无效投标处理。</w:t>
            </w:r>
          </w:p>
          <w:p>
            <w:pPr>
              <w:pStyle w:val="null3"/>
            </w:pPr>
            <w:r>
              <w:rPr>
                <w:rFonts w:ascii="仿宋_GB2312" w:hAnsi="仿宋_GB2312" w:cs="仿宋_GB2312" w:eastAsia="仿宋_GB2312"/>
                <w:sz w:val="21"/>
                <w:b/>
                <w:color w:val="0000FF"/>
              </w:rPr>
              <w:t>3、本项目所涉及的所有车辆报价须包含车辆购置税、交强险及车辆上户的所有费用，供应商自行考虑计入投标报价中，采购人不在单独支付。</w:t>
            </w:r>
          </w:p>
          <w:p>
            <w:pPr>
              <w:pStyle w:val="null3"/>
            </w:pPr>
            <w:r>
              <w:rPr>
                <w:rFonts w:ascii="仿宋_GB2312" w:hAnsi="仿宋_GB2312" w:cs="仿宋_GB2312" w:eastAsia="仿宋_GB2312"/>
                <w:sz w:val="21"/>
                <w:b/>
                <w:color w:val="0000FF"/>
              </w:rPr>
              <w:t>四、采购标的需满足的其他要求：</w:t>
            </w:r>
          </w:p>
          <w:tbl>
            <w:tblPr>
              <w:tblBorders>
                <w:top w:val="none" w:color="000000" w:sz="4"/>
                <w:left w:val="none" w:color="000000" w:sz="4"/>
                <w:bottom w:val="none" w:color="000000" w:sz="4"/>
                <w:right w:val="none" w:color="000000" w:sz="4"/>
                <w:insideH w:val="none"/>
                <w:insideV w:val="none"/>
              </w:tblBorders>
            </w:tblPr>
            <w:tblGrid>
              <w:gridCol w:w="194"/>
              <w:gridCol w:w="520"/>
              <w:gridCol w:w="1831"/>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序号</w:t>
                  </w:r>
                </w:p>
              </w:tc>
              <w:tc>
                <w:tcPr>
                  <w:tcW w:type="dxa" w:w="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名称</w:t>
                  </w:r>
                </w:p>
              </w:tc>
              <w:tc>
                <w:tcPr>
                  <w:tcW w:type="dxa" w:w="18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其他要求</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水平直压式压缩机</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压缩机主体与推板机构之间采用无导轨设计，与机箱周边小间隙，减少推板机构与压缩机主体之间的磨损，确保不会把垃圾带入推板机构后部，推板推入箱内行程长，切料门下降速度快于垃圾反弹，箱体装满后，可自动进行强力循环压缩，切料门关闭后无垃圾流挂，压缩推头为整体式结构，可完成全部的垃圾压缩作业。推头在往返压缩垃圾过程中，不会将垃圾带入压缩腔后部，减少设备清洁维护的工作量，压缩腔后部设置污水收集槽，有效控制污水定向有序排放。</w:t>
                  </w:r>
                </w:p>
                <w:p>
                  <w:pPr>
                    <w:pStyle w:val="null3"/>
                    <w:spacing w:after="120"/>
                    <w:jc w:val="left"/>
                  </w:pPr>
                  <w:r>
                    <w:rPr>
                      <w:rFonts w:ascii="仿宋_GB2312" w:hAnsi="仿宋_GB2312" w:cs="仿宋_GB2312" w:eastAsia="仿宋_GB2312"/>
                      <w:sz w:val="21"/>
                      <w:color w:val="0000FF"/>
                    </w:rPr>
                    <w:t>2.智能操作和控制系统采用PLC程序控制，设有互锁系统、且配有警示灯、警示标识等多种安全保护装置，安全性高。程序设有满箱报警。</w:t>
                  </w:r>
                </w:p>
                <w:p>
                  <w:pPr>
                    <w:pStyle w:val="null3"/>
                    <w:spacing w:after="120"/>
                    <w:jc w:val="left"/>
                  </w:pPr>
                  <w:r>
                    <w:rPr>
                      <w:rFonts w:ascii="仿宋_GB2312" w:hAnsi="仿宋_GB2312" w:cs="仿宋_GB2312" w:eastAsia="仿宋_GB2312"/>
                      <w:sz w:val="21"/>
                      <w:color w:val="0000FF"/>
                    </w:rPr>
                    <w:t>3.系统的操作状态可以在“手动”、“自动”间进行自由切换，当系统处于“手动”状态时，所有操作依靠人工单步操作。“自动”是设备主要的使用状态，当处于“自动”操作状态时设备可以自动运行。在自动作业过程中，系统的连锁功能及各个装置的连锁功能可防止各种不良现象的发生。</w:t>
                  </w:r>
                </w:p>
                <w:p>
                  <w:pPr>
                    <w:pStyle w:val="null3"/>
                    <w:spacing w:after="120"/>
                    <w:jc w:val="left"/>
                  </w:pPr>
                  <w:r>
                    <w:rPr>
                      <w:rFonts w:ascii="仿宋_GB2312" w:hAnsi="仿宋_GB2312" w:cs="仿宋_GB2312" w:eastAsia="仿宋_GB2312"/>
                      <w:sz w:val="21"/>
                      <w:color w:val="0000FF"/>
                    </w:rPr>
                    <w:t>4.液压系统采用双联泵工作；</w:t>
                  </w:r>
                </w:p>
                <w:p>
                  <w:pPr>
                    <w:pStyle w:val="null3"/>
                    <w:spacing w:after="120"/>
                    <w:jc w:val="left"/>
                  </w:pPr>
                  <w:r>
                    <w:rPr>
                      <w:rFonts w:ascii="仿宋_GB2312" w:hAnsi="仿宋_GB2312" w:cs="仿宋_GB2312" w:eastAsia="仿宋_GB2312"/>
                      <w:sz w:val="21"/>
                      <w:color w:val="0000FF"/>
                    </w:rPr>
                    <w:t>5.液压系统、电器系统的主要元器件（电机、控制器及相关元件）采用正规品牌。</w:t>
                  </w:r>
                </w:p>
                <w:p>
                  <w:pPr>
                    <w:pStyle w:val="null3"/>
                    <w:spacing w:after="120"/>
                    <w:jc w:val="left"/>
                  </w:pPr>
                  <w:r>
                    <w:rPr>
                      <w:rFonts w:ascii="仿宋_GB2312" w:hAnsi="仿宋_GB2312" w:cs="仿宋_GB2312" w:eastAsia="仿宋_GB2312"/>
                      <w:sz w:val="21"/>
                      <w:color w:val="0000FF"/>
                    </w:rPr>
                    <w:t>6.液压、动力单元采用模块式设计，管路、线路排布整齐。</w:t>
                  </w:r>
                </w:p>
                <w:p>
                  <w:pPr>
                    <w:pStyle w:val="null3"/>
                    <w:spacing w:after="120"/>
                    <w:jc w:val="left"/>
                  </w:pPr>
                  <w:r>
                    <w:rPr>
                      <w:rFonts w:ascii="仿宋_GB2312" w:hAnsi="仿宋_GB2312" w:cs="仿宋_GB2312" w:eastAsia="仿宋_GB2312"/>
                      <w:sz w:val="21"/>
                      <w:color w:val="0000FF"/>
                    </w:rPr>
                    <w:t>7.压力感应装置具有专门的液压油过滤装置，保证液压油的清洁度，确保自动控制可靠性。</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移箱平台</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采用三箱位的移箱平台，能提高压缩机作业效率。</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垃圾箱（配套）</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6100×2600×2500（±50mm）</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中央控制系统</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视频监视系统</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6</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交通指挥系统</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1.∅300车道信号牌灯—二合一红叉绿箭灯组</w:t>
                  </w:r>
                </w:p>
                <w:p>
                  <w:pPr>
                    <w:pStyle w:val="null3"/>
                    <w:spacing w:after="120"/>
                    <w:jc w:val="left"/>
                  </w:pPr>
                  <w:r>
                    <w:rPr>
                      <w:rFonts w:ascii="仿宋_GB2312" w:hAnsi="仿宋_GB2312" w:cs="仿宋_GB2312" w:eastAsia="仿宋_GB2312"/>
                      <w:sz w:val="21"/>
                      <w:color w:val="0000FF"/>
                    </w:rPr>
                    <w:t>2.特点：亮度高、功耗低、视角大、寿命长、结构新颖，外形美观、多重密封，防水、符合GB-14887-2011和国际有关标准；</w:t>
                  </w:r>
                </w:p>
                <w:p>
                  <w:pPr>
                    <w:pStyle w:val="null3"/>
                    <w:spacing w:after="120"/>
                    <w:jc w:val="left"/>
                  </w:pPr>
                  <w:r>
                    <w:rPr>
                      <w:rFonts w:ascii="仿宋_GB2312" w:hAnsi="仿宋_GB2312" w:cs="仿宋_GB2312" w:eastAsia="仿宋_GB2312"/>
                      <w:sz w:val="21"/>
                      <w:color w:val="0000FF"/>
                    </w:rPr>
                    <w:t>3.在拉臂车拉箱位置、卸料工位、引桥和称重设备处必须配备有红绿灯交通指挥系统及语音提示系统，方便垃圾站工作人员统一调度。</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7</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语音广播系统</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8</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大屏显示系统</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9</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负压抽风除臭系统</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1.传质面积大，净化效率高。吸收塔采用填料与喷雾相结合，使塔具有很大的接触面积。</w:t>
                  </w:r>
                </w:p>
                <w:p>
                  <w:pPr>
                    <w:pStyle w:val="null3"/>
                    <w:spacing w:after="120"/>
                    <w:jc w:val="left"/>
                  </w:pPr>
                  <w:r>
                    <w:rPr>
                      <w:rFonts w:ascii="仿宋_GB2312" w:hAnsi="仿宋_GB2312" w:cs="仿宋_GB2312" w:eastAsia="仿宋_GB2312"/>
                      <w:sz w:val="21"/>
                      <w:color w:val="0000FF"/>
                    </w:rPr>
                    <w:t>2.喷雾布液与填料布气，使气液分布特别均匀。以雾化喷嘴在整个塔截面上均匀喷出，使吸收液分布很均匀。</w:t>
                  </w:r>
                </w:p>
                <w:p>
                  <w:pPr>
                    <w:pStyle w:val="null3"/>
                    <w:spacing w:after="120"/>
                    <w:jc w:val="left"/>
                  </w:pPr>
                  <w:r>
                    <w:rPr>
                      <w:rFonts w:ascii="仿宋_GB2312" w:hAnsi="仿宋_GB2312" w:cs="仿宋_GB2312" w:eastAsia="仿宋_GB2312"/>
                      <w:sz w:val="21"/>
                      <w:color w:val="0000FF"/>
                    </w:rPr>
                    <w:t>3.气相阻力低，不存在堵塞问题。采用网格较大的专用填料，均匀布置，填料层的较大缝隙，使气流通过时阻力很低，同时也不会因颗粒物的出现而堵塞填料层。</w:t>
                  </w:r>
                </w:p>
                <w:p>
                  <w:pPr>
                    <w:pStyle w:val="null3"/>
                    <w:spacing w:after="120"/>
                    <w:jc w:val="left"/>
                  </w:pPr>
                  <w:r>
                    <w:rPr>
                      <w:rFonts w:ascii="仿宋_GB2312" w:hAnsi="仿宋_GB2312" w:cs="仿宋_GB2312" w:eastAsia="仿宋_GB2312"/>
                      <w:sz w:val="21"/>
                      <w:color w:val="0000FF"/>
                    </w:rPr>
                    <w:t>4.结构简单、维修方便。吸收塔的结构简单，塔内除喷嘴、填料和除雾装置外，没有其他构件。</w:t>
                  </w:r>
                </w:p>
                <w:p>
                  <w:pPr>
                    <w:pStyle w:val="null3"/>
                    <w:spacing w:after="120"/>
                    <w:jc w:val="left"/>
                  </w:pPr>
                  <w:r>
                    <w:rPr>
                      <w:rFonts w:ascii="仿宋_GB2312" w:hAnsi="仿宋_GB2312" w:cs="仿宋_GB2312" w:eastAsia="仿宋_GB2312"/>
                      <w:sz w:val="21"/>
                      <w:color w:val="0000FF"/>
                    </w:rPr>
                    <w:t>5.自动化程度高、操作简单。系统采用全自动化控制，并能与中控制室联接，实现远程控制。</w:t>
                  </w:r>
                </w:p>
                <w:p>
                  <w:pPr>
                    <w:pStyle w:val="null3"/>
                    <w:spacing w:after="120"/>
                    <w:jc w:val="left"/>
                  </w:pPr>
                  <w:r>
                    <w:rPr>
                      <w:rFonts w:ascii="仿宋_GB2312" w:hAnsi="仿宋_GB2312" w:cs="仿宋_GB2312" w:eastAsia="仿宋_GB2312"/>
                      <w:sz w:val="21"/>
                      <w:color w:val="0000FF"/>
                    </w:rPr>
                    <w:t>6.系统设置远程和就地两种模式，就地控制时通过操作面板的按钮、开关等操作实现系统要求的所有功能；远程控制通过以太网与中控室连接实现中控室集中控制。</w:t>
                  </w:r>
                </w:p>
                <w:p>
                  <w:pPr>
                    <w:pStyle w:val="null3"/>
                    <w:spacing w:after="120"/>
                    <w:jc w:val="left"/>
                  </w:pPr>
                  <w:r>
                    <w:rPr>
                      <w:rFonts w:ascii="仿宋_GB2312" w:hAnsi="仿宋_GB2312" w:cs="仿宋_GB2312" w:eastAsia="仿宋_GB2312"/>
                      <w:sz w:val="21"/>
                      <w:color w:val="0000FF"/>
                    </w:rPr>
                    <w:t>7.PLC应能实现准确控制各电动风阀的开启角度，便于实时调节各支路风量大小和检修。</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10</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料口喷淋降尘系统</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每个卸料口周围设置多个喷雾降尘喷嘴，当收集车进行卸料时，喷雾降尘系统自动开启，起到降低扬尘的作用。</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11</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空间喷淋除臭系统</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1.压缩机作业面、一层区域、设置雾化喷头，雾化效果好，有防堵塞、结垢措施；</w:t>
                  </w:r>
                </w:p>
                <w:p>
                  <w:pPr>
                    <w:pStyle w:val="null3"/>
                    <w:spacing w:after="120"/>
                    <w:jc w:val="left"/>
                  </w:pPr>
                  <w:r>
                    <w:rPr>
                      <w:rFonts w:ascii="仿宋_GB2312" w:hAnsi="仿宋_GB2312" w:cs="仿宋_GB2312" w:eastAsia="仿宋_GB2312"/>
                      <w:sz w:val="21"/>
                      <w:color w:val="0000FF"/>
                    </w:rPr>
                    <w:t>2.主控制箱采用PLC控制，自动配液，带运行监控保护功能，中央控制室可控，实现自动控制和手动控制；</w:t>
                  </w:r>
                </w:p>
                <w:p>
                  <w:pPr>
                    <w:pStyle w:val="null3"/>
                    <w:spacing w:after="120"/>
                    <w:jc w:val="left"/>
                  </w:pPr>
                  <w:r>
                    <w:rPr>
                      <w:rFonts w:ascii="仿宋_GB2312" w:hAnsi="仿宋_GB2312" w:cs="仿宋_GB2312" w:eastAsia="仿宋_GB2312"/>
                      <w:sz w:val="21"/>
                      <w:color w:val="0000FF"/>
                    </w:rPr>
                    <w:t>3.喷嘴能分组或全部工作；</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12</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快速卷帘门</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快速卷帘位于压缩机的卸料槽与卸料平台处，在不进行卸料工作时关闭，卸料作业时快速开启。</w:t>
                  </w:r>
                </w:p>
                <w:p>
                  <w:pPr>
                    <w:pStyle w:val="null3"/>
                    <w:spacing w:after="120"/>
                    <w:jc w:val="left"/>
                  </w:pPr>
                  <w:r>
                    <w:rPr>
                      <w:rFonts w:ascii="仿宋_GB2312" w:hAnsi="仿宋_GB2312" w:cs="仿宋_GB2312" w:eastAsia="仿宋_GB2312"/>
                      <w:sz w:val="21"/>
                      <w:color w:val="0000FF"/>
                    </w:rPr>
                    <w:t>快速卷帘门系统采用地感控制，系统运行控制自动化。</w:t>
                  </w:r>
                </w:p>
                <w:p>
                  <w:pPr>
                    <w:pStyle w:val="null3"/>
                    <w:spacing w:after="120"/>
                    <w:jc w:val="left"/>
                  </w:pPr>
                  <w:r>
                    <w:rPr>
                      <w:rFonts w:ascii="仿宋_GB2312" w:hAnsi="仿宋_GB2312" w:cs="仿宋_GB2312" w:eastAsia="仿宋_GB2312"/>
                      <w:sz w:val="21"/>
                      <w:color w:val="0000FF"/>
                    </w:rPr>
                    <w:t>具备自动获得车辆接近和离去的信号的能力，控制系统根据信号可以自动控制卷帘门的开启和关闭</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13</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风幕机</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14</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高压清洗机</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w:t>
                  </w: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1"/>
                      <w:color w:val="0000FF"/>
                    </w:rPr>
                    <w:t>15</w:t>
                  </w:r>
                </w:p>
              </w:tc>
              <w:tc>
                <w:tcPr>
                  <w:tcW w:type="dxa" w:w="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FF"/>
                    </w:rPr>
                    <w:t>25吨</w:t>
                  </w:r>
                  <w:r>
                    <w:rPr>
                      <w:rFonts w:ascii="仿宋_GB2312" w:hAnsi="仿宋_GB2312" w:cs="仿宋_GB2312" w:eastAsia="仿宋_GB2312"/>
                      <w:sz w:val="21"/>
                      <w:color w:val="0000FF"/>
                    </w:rPr>
                    <w:t>车厢可卸式垃圾车</w:t>
                  </w:r>
                </w:p>
              </w:tc>
              <w:tc>
                <w:tcPr>
                  <w:tcW w:type="dxa" w:w="18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20"/>
                    <w:jc w:val="left"/>
                  </w:pPr>
                  <w:r>
                    <w:rPr>
                      <w:rFonts w:ascii="仿宋_GB2312" w:hAnsi="仿宋_GB2312" w:cs="仿宋_GB2312" w:eastAsia="仿宋_GB2312"/>
                      <w:sz w:val="21"/>
                      <w:color w:val="0000FF"/>
                    </w:rPr>
                    <w:t>1.多路阀为手动气控液压多路阀，工作模式为电控气，气控液。工作装置的电器系统与汽车底盘的电器系统为独立的两个系统。</w:t>
                  </w:r>
                </w:p>
                <w:p>
                  <w:pPr>
                    <w:pStyle w:val="null3"/>
                    <w:spacing w:after="120"/>
                    <w:jc w:val="left"/>
                  </w:pPr>
                  <w:r>
                    <w:rPr>
                      <w:rFonts w:ascii="仿宋_GB2312" w:hAnsi="仿宋_GB2312" w:cs="仿宋_GB2312" w:eastAsia="仿宋_GB2312"/>
                      <w:sz w:val="21"/>
                      <w:color w:val="0000FF"/>
                    </w:rPr>
                    <w:t>2.钩臂系统采用滑臂式铰接结构；主臂下降有缓冲功能；动作之间有互锁功能。车辆采用后支撑稳定装置。</w:t>
                  </w:r>
                </w:p>
                <w:p>
                  <w:pPr>
                    <w:pStyle w:val="null3"/>
                    <w:spacing w:after="120"/>
                    <w:jc w:val="left"/>
                  </w:pPr>
                  <w:r>
                    <w:rPr>
                      <w:rFonts w:ascii="仿宋_GB2312" w:hAnsi="仿宋_GB2312" w:cs="仿宋_GB2312" w:eastAsia="仿宋_GB2312"/>
                      <w:sz w:val="21"/>
                      <w:color w:val="0000FF"/>
                    </w:rPr>
                    <w:t>3.箱体锁采用液压油缸驱动。</w:t>
                  </w:r>
                </w:p>
                <w:p>
                  <w:pPr>
                    <w:pStyle w:val="null3"/>
                    <w:spacing w:after="120"/>
                    <w:jc w:val="left"/>
                  </w:pPr>
                  <w:r>
                    <w:rPr>
                      <w:rFonts w:ascii="仿宋_GB2312" w:hAnsi="仿宋_GB2312" w:cs="仿宋_GB2312" w:eastAsia="仿宋_GB2312"/>
                      <w:sz w:val="21"/>
                      <w:color w:val="0000FF"/>
                    </w:rPr>
                    <w:t>4.箱体后门液压系统，用于启闭箱体后门，通过两个液压快速接头，与箱体上的两个液压快速接头进行对接。</w:t>
                  </w:r>
                </w:p>
              </w:tc>
            </w:tr>
          </w:tbl>
          <w:p>
            <w:pPr>
              <w:pStyle w:val="null3"/>
            </w:pPr>
            <w:r>
              <w:rPr>
                <w:rFonts w:ascii="仿宋_GB2312" w:hAnsi="仿宋_GB2312" w:cs="仿宋_GB2312" w:eastAsia="仿宋_GB2312"/>
                <w:sz w:val="21"/>
                <w:b/>
                <w:color w:val="0000FF"/>
              </w:rPr>
              <w:t>五、采购标的需满足的商务要求：</w:t>
            </w:r>
          </w:p>
          <w:p>
            <w:pPr>
              <w:pStyle w:val="null3"/>
              <w:jc w:val="both"/>
            </w:pPr>
            <w:r>
              <w:rPr>
                <w:rFonts w:ascii="仿宋_GB2312" w:hAnsi="仿宋_GB2312" w:cs="仿宋_GB2312" w:eastAsia="仿宋_GB2312"/>
                <w:sz w:val="21"/>
                <w:color w:val="0000FF"/>
              </w:rPr>
              <w:t>1.交货时间：合同签订后75个日历天。</w:t>
            </w:r>
          </w:p>
          <w:p>
            <w:pPr>
              <w:pStyle w:val="null3"/>
              <w:jc w:val="both"/>
            </w:pPr>
            <w:r>
              <w:rPr>
                <w:rFonts w:ascii="仿宋_GB2312" w:hAnsi="仿宋_GB2312" w:cs="仿宋_GB2312" w:eastAsia="仿宋_GB2312"/>
                <w:sz w:val="21"/>
                <w:color w:val="0000FF"/>
              </w:rPr>
              <w:t>2.付款方式：合同签订后，全部货物按招标文件交货期约定交付使用。预付款为合同价款30%，货到现场甲方签收付合同价款40%，验收合格付合同价款30%。</w:t>
            </w:r>
          </w:p>
          <w:p>
            <w:pPr>
              <w:pStyle w:val="null3"/>
              <w:jc w:val="both"/>
            </w:pPr>
            <w:r>
              <w:rPr>
                <w:rFonts w:ascii="仿宋_GB2312" w:hAnsi="仿宋_GB2312" w:cs="仿宋_GB2312" w:eastAsia="仿宋_GB2312"/>
                <w:sz w:val="21"/>
                <w:color w:val="0000FF"/>
              </w:rPr>
              <w:t>3.质保期：自验收合格之日起一年。</w:t>
            </w:r>
          </w:p>
          <w:p>
            <w:pPr>
              <w:pStyle w:val="null3"/>
              <w:jc w:val="both"/>
            </w:pPr>
            <w:r>
              <w:rPr>
                <w:rFonts w:ascii="仿宋_GB2312" w:hAnsi="仿宋_GB2312" w:cs="仿宋_GB2312" w:eastAsia="仿宋_GB2312"/>
                <w:sz w:val="21"/>
                <w:color w:val="0000FF"/>
              </w:rPr>
              <w:t>4.质量标准：符合国家及行业质量验收合格标准。</w:t>
            </w:r>
          </w:p>
          <w:p>
            <w:pPr>
              <w:pStyle w:val="null3"/>
            </w:pPr>
            <w:r>
              <w:rPr>
                <w:rFonts w:ascii="仿宋_GB2312" w:hAnsi="仿宋_GB2312" w:cs="仿宋_GB2312" w:eastAsia="仿宋_GB2312"/>
                <w:sz w:val="21"/>
                <w:color w:val="0000FF"/>
              </w:rPr>
              <w:t>5.交货地点：勉县园林环卫服务中心。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合同签订后75个日历天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勉县园林环卫服务中心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 </w:t>
      </w:r>
      <w:r>
        <w:rPr>
          <w:rFonts w:ascii="仿宋_GB2312" w:hAnsi="仿宋_GB2312" w:cs="仿宋_GB2312" w:eastAsia="仿宋_GB2312"/>
        </w:rPr>
        <w:t>15</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货到现场甲方签收</w:t>
      </w:r>
      <w:r>
        <w:rPr>
          <w:rFonts w:ascii="仿宋_GB2312" w:hAnsi="仿宋_GB2312" w:cs="仿宋_GB2312" w:eastAsia="仿宋_GB2312"/>
        </w:rPr>
        <w:t xml:space="preserve"> ， </w:t>
      </w:r>
      <w:r>
        <w:rPr>
          <w:rFonts w:ascii="仿宋_GB2312" w:hAnsi="仿宋_GB2312" w:cs="仿宋_GB2312" w:eastAsia="仿宋_GB2312"/>
        </w:rPr>
        <w:t>15</w:t>
      </w:r>
      <w:r>
        <w:rPr>
          <w:rFonts w:ascii="仿宋_GB2312" w:hAnsi="仿宋_GB2312" w:cs="仿宋_GB2312" w:eastAsia="仿宋_GB2312"/>
        </w:rPr>
        <w:t xml:space="preserve"> ，支付合同总金额的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 </w:t>
      </w:r>
      <w:r>
        <w:rPr>
          <w:rFonts w:ascii="仿宋_GB2312" w:hAnsi="仿宋_GB2312" w:cs="仿宋_GB2312" w:eastAsia="仿宋_GB2312"/>
        </w:rPr>
        <w:t>15</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甲方须在乙方提出书面验收申请之日起 10日内，组织验收工作。验收由甲方指定单位及人员进行验收，验收合格后出具书面验收合格证明，作为对产品的最终认可。 2、验收依据：单证齐全，应有产品合格证、质量证明、使用说明、保修保质证明、发票和其他应当具有的单证，并符合国家法律、法规对该产品规定的国家标准的要求。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质保期：自验收合格之日起一年。详见合同。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本项目属于支持本国产品采购项目。 根据《国务院办公厅关于在政府采购中实施本国产品标准及相关政策的通知》（国办发〔2025〕34号）规定：①政府采购活动中既有本国产品又有非本国产品参与竞争的，依法对本国产品给予价格评审优惠，对本国产品的报价给予20%的价格扣除，用扣除后的价格参与评审。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③供应商应根据招标文件第六章投标文件格式，出具符合要求的《关于符合本国产品标准的声明函》，否则视同非本国产品。供应商提供虚假《声明函》、虚假证明文件谋取中标、成交的，依照《政府采购法》等法律法规规定追究相应责任。 本项目采购包中含有多种产品，供应商除提供《关于符合本国产品标准的声明函》外，另须提供《关于符合本国产品成本占比的声明函》，未提供或提供不全的不享受价格扣除。 本项目评分标准：报价得分=（基准价/参评报价）×分值；享受价格扣除的：供应商参评价格=总报价×[1-（小微价格扣除比例+本国产品价格扣除比例）]</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拟供车辆资料</w:t>
            </w:r>
          </w:p>
        </w:tc>
        <w:tc>
          <w:tcPr>
            <w:tcW w:type="dxa" w:w="3322"/>
          </w:tcPr>
          <w:p>
            <w:pPr>
              <w:pStyle w:val="null3"/>
            </w:pPr>
            <w:r>
              <w:rPr>
                <w:rFonts w:ascii="仿宋_GB2312" w:hAnsi="仿宋_GB2312" w:cs="仿宋_GB2312" w:eastAsia="仿宋_GB2312"/>
              </w:rPr>
              <w:t>供应商拟供车型必须在国家工业和信息化部发布的《车辆生产企业及产品》公告内；</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 网站（www.creditchi na.gov.cn）中列入重大税收违法失信主体的供应商；不得为“中国执行信息公开网”（http://z xgk.court.gov.cn）中列入失信被执行人名单的供应商；不得为“中国政府采购网”（www.cc gp.gov.cn）政府采购严重违法失信行为记录名 单中被财政部门禁止参加政府采购活动的供应商； （注：以投标文件中提供的承诺书为准）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1.根据财政部《关于推动解决政府采购异常低价问题的通知》（财库〔2026〕2号）“政府采购评审中出现下列情形之一的，评审委员会（磋商小组）应当启动异常低价投标（响应）审查程序”：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（4）评审委员会（磋商小组）基于专业判断，认为供应商报价过低，有可能影响产品质量或者不能诚信履约的其他情形。 评审委员会（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相关供应商应于30分钟内按评标委员会要求提供相应证明材料。其中，属于第3项情形，供应商已随投标（响应）文件一并提交相关书面说明及必要的证明材料的，在评审现场可不再重复提交。评审委员会（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磋商小组）应当将其作为无效投标（响应）处理。 异常低价投标（响应）审查的启动原因、审查意见和审查结果应当在评审报告中记录，并随供应商提供的相关书面说明及证明材料，以及评审委员会（磋商小组）有关互联网浏览、查询历史一并归档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法定代表人（负责人）身份证明及法定代表人（负责人）授权委托书.docx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供应商应提交的相关资格证明材料.docx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供应商应提交的相关资格证明材料.docx 供应商认为需要提供的其他资料.docx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招标文件“第三章 招标项目技术、服务、商务及其他要求”“3.3技术要求”中“三、采购标的需满足的技术要求”共166项技术参数及要求，其中“▲”项为重要技术参数及要求，其他的为一般技术参数及要求。（1）“▲”项技术参数及要求共11项，供应商拟供产品的技术参数每有一项完全满足得1.5分，共16.5分；（2）一般技术参数及要求共155项，供应商拟供产品的技术参数每有一项完全满足得0.1分，共15.5分。 备注：供应商须提供拟供产品相关技术参数证明材料，包括但不限于产品介绍或说明书或检测报告等（如技术参数有明确证明资料要求的，须按技术参数要求的证明资料提供），供应商自行承担因未提供拟供产品技术参数证明材料导致技术参数被视为负偏离的风险。</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对供应商针对本项目提供的实施方案进行评审，包括但不限于以下内容： （1）供货组织安排、安装、检测、调试措施；（2）项目实施步骤、进度计划和保证措施；（3）安全控制方案；（4）组织机构人员配置、协调能力；（5）验收方案等。 以上5条内容，每条内容均完整的，得满分20分，每有一条内容缺项的，扣4分；每条内容中每有一处内容不完整或有缺陷或与项目不匹配的，扣1分，扣完为止。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培训及售后服务</w:t>
            </w:r>
          </w:p>
        </w:tc>
        <w:tc>
          <w:tcPr>
            <w:tcW w:type="dxa" w:w="2492"/>
          </w:tcPr>
          <w:p>
            <w:pPr>
              <w:pStyle w:val="null3"/>
            </w:pPr>
            <w:r>
              <w:rPr>
                <w:rFonts w:ascii="仿宋_GB2312" w:hAnsi="仿宋_GB2312" w:cs="仿宋_GB2312" w:eastAsia="仿宋_GB2312"/>
              </w:rPr>
              <w:t>对供应商针对本项目提供的培训及售后服务方案进行评审，包括但不限于以下内容: （1）质保期内及质保期满之后产品保修内容及范围；（2）售后流程及培训方案；（3）售后服务时间；（4）备品、配件保障措施；（5）售后巡查及维护安排；（6）售后服务监督与奖惩；（7）售后服务管理；（8）客诉渠道、承诺及保障措施。 以上8条内容，每条内容均完整的，得满分16分，每有一条内容缺项的，扣2分；每条内容中每有一处内容不完整或有缺陷或与项目不匹配的，扣1分，扣完为止。 备注:内容不完整或有缺陷或与项目不匹配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供应商自2023年1月1日至投标截止时间所具有类似项目业绩，每提供1份计1分，满分2分。 注：以供应商投标文件中所附加盖公章的项目合同复印件为准，业绩时间以合同显示时间为准，否则不得分。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 一按照下列公式计算：投标报价得分=（评标基准价/投标报价） ×分值； 注：1、享受价格扣除的：投标人参评价格=投标总报价*[1-（小微价格扣除比例+本国产品价格扣除比例）]； 2、不享受价格扣除的：投标人参评价格=投标报价； 3、小微企业、监狱企业、残疾人福利性单位的价格给予10%的扣除，用扣除后的价格参与评审； 4、根据《国务院办公厅关于在政府采购中实施本国产品标准及相关政策的通知》（国办发〔2025〕34号）规定：①政府采购活动中既有本国产品又有非本国产品参与竞争的，依法对本国产品给予价格评审优惠，对本国产品的报价给予20%的价格扣除，用扣除后的价格参与评审。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③投标人应根据招标文件第六章 投标文件格式附件，出具符合要求的《关于符合本国产品标准的声明函》，否则视同非本国产品。投标人提供虚假《声明函》、虚假证明文件谋取中标、成交的，依照《政府采购法》等法律法规规定追究相应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详见附件：法定代表人（负责人）身份证明及法定代表人（负责人）授权委托书.docx</w:t>
      </w:r>
    </w:p>
    <w:p>
      <w:pPr>
        <w:pStyle w:val="null3"/>
        <w:ind w:firstLine="960"/>
      </w:pPr>
      <w:r>
        <w:rPr>
          <w:rFonts w:ascii="仿宋_GB2312" w:hAnsi="仿宋_GB2312" w:cs="仿宋_GB2312" w:eastAsia="仿宋_GB2312"/>
        </w:rPr>
        <w:t>详见附件：类似项目情况表.docx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