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版本号：CGZC-2026-036（ZR20GN2026-CS-025）.1B120260622001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全区商贸行业安全生产技术服务项目(二次)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CGZC-2026-036（ZR20GN2026-CS-025）.1B1</w:t>
      </w:r>
      <w:r>
        <w:br/>
      </w:r>
      <w:r>
        <w:br/>
      </w:r>
      <w:r>
        <w:br/>
      </w:r>
    </w:p>
    <w:p>
      <w:pPr>
        <w:pStyle w:val="null3"/>
        <w:jc w:val="center"/>
        <w:outlineLvl w:val="2"/>
      </w:pPr>
      <w:r>
        <w:rPr>
          <w:rFonts w:ascii="仿宋_GB2312" w:hAnsi="仿宋_GB2312" w:cs="仿宋_GB2312" w:eastAsia="仿宋_GB2312"/>
          <w:sz w:val="28"/>
          <w:b/>
        </w:rPr>
        <w:t>西安浐灞国际港产业促进局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西安浐灞国际港产业促进局</w:t>
      </w:r>
      <w:r>
        <w:rPr>
          <w:rFonts w:ascii="仿宋_GB2312" w:hAnsi="仿宋_GB2312" w:cs="仿宋_GB2312" w:eastAsia="仿宋_GB2312"/>
        </w:rPr>
        <w:t>委托，拟对</w:t>
      </w:r>
      <w:r>
        <w:rPr>
          <w:rFonts w:ascii="仿宋_GB2312" w:hAnsi="仿宋_GB2312" w:cs="仿宋_GB2312" w:eastAsia="仿宋_GB2312"/>
        </w:rPr>
        <w:t>全区商贸行业安全生产技术服务项目(二次)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CGZC-2026-036（ZR20GN2026-CS-025）.1B1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全区商贸行业安全生产技术服务项目(二次)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为严格落实国家安全生产工作相关规定，配合采购人及应急部门开展相关安全生产工作，采购全区商贸领域安全生产技术服务。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采购包1（全区商贸行业安全生产技术服务项目）：属于专门面向中小企业采购。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西安浐灞国际港产业促进局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西安浐灞国际港产业促进局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西安浐灞国际港产业促进局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西安浐灞国际港产业促进局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为严格落实国家安全生产工作相关规定，配合采购人及应急部门开展相关安全生产工作，采购全区商贸领域安全生产技术服务。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安全生产技术服务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标的名称：安全生产技术服务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00"/>
              <w:jc w:val="left"/>
            </w:pPr>
            <w:r>
              <w:rPr>
                <w:rFonts w:ascii="仿宋_GB2312" w:hAnsi="仿宋_GB2312" w:cs="仿宋_GB2312" w:eastAsia="仿宋_GB2312"/>
                <w:sz w:val="24"/>
              </w:rPr>
              <w:t>为严格落实国家安全生产工作相关规定，配合采购人及应急部门开展相关安全生产工作，采购全区商贸领域安全生产技术服务。目前，全区共有</w:t>
            </w:r>
            <w:r>
              <w:rPr>
                <w:rFonts w:ascii="仿宋_GB2312" w:hAnsi="仿宋_GB2312" w:cs="仿宋_GB2312" w:eastAsia="仿宋_GB2312"/>
                <w:sz w:val="24"/>
              </w:rPr>
              <w:t>60家餐饮企业，67家非星级酒店，33家加油站，106家再生资源回收网点，7个商业综合体，10家连锁超市，60家汽车4S店，1家二手车交易市场。通过安全技术服务，确保行业安全形势平稳。</w:t>
            </w:r>
          </w:p>
          <w:p>
            <w:pPr>
              <w:pStyle w:val="null3"/>
              <w:jc w:val="left"/>
            </w:pPr>
            <w:r>
              <w:rPr>
                <w:rFonts w:ascii="仿宋_GB2312" w:hAnsi="仿宋_GB2312" w:cs="仿宋_GB2312" w:eastAsia="仿宋_GB2312"/>
                <w:sz w:val="24"/>
              </w:rPr>
              <w:t>二、服务内容</w:t>
            </w:r>
          </w:p>
          <w:p>
            <w:pPr>
              <w:pStyle w:val="null3"/>
              <w:ind w:firstLine="400"/>
              <w:jc w:val="left"/>
            </w:pPr>
            <w:r>
              <w:rPr>
                <w:rFonts w:ascii="仿宋_GB2312" w:hAnsi="仿宋_GB2312" w:cs="仿宋_GB2312" w:eastAsia="仿宋_GB2312"/>
                <w:sz w:val="24"/>
              </w:rPr>
              <w:t>隐患排查内容包含全区商贸企业（餐饮业、住宿业、再生资源行业、汽车行业、成品油流通行业、超市、商业综合体），</w:t>
            </w:r>
            <w:r>
              <w:rPr>
                <w:rFonts w:ascii="仿宋_GB2312" w:hAnsi="仿宋_GB2312" w:cs="仿宋_GB2312" w:eastAsia="仿宋_GB2312"/>
                <w:sz w:val="24"/>
              </w:rPr>
              <w:t>负责日常巡查</w:t>
            </w:r>
            <w:r>
              <w:rPr>
                <w:rFonts w:ascii="仿宋_GB2312" w:hAnsi="仿宋_GB2312" w:cs="仿宋_GB2312" w:eastAsia="仿宋_GB2312"/>
                <w:sz w:val="24"/>
              </w:rPr>
              <w:t>、</w:t>
            </w:r>
            <w:r>
              <w:rPr>
                <w:rFonts w:ascii="仿宋_GB2312" w:hAnsi="仿宋_GB2312" w:cs="仿宋_GB2312" w:eastAsia="仿宋_GB2312"/>
                <w:sz w:val="24"/>
              </w:rPr>
              <w:t>专项</w:t>
            </w:r>
            <w:r>
              <w:rPr>
                <w:rFonts w:ascii="仿宋_GB2312" w:hAnsi="仿宋_GB2312" w:cs="仿宋_GB2312" w:eastAsia="仿宋_GB2312"/>
                <w:sz w:val="24"/>
              </w:rPr>
              <w:t>隐患排查、隐患整改复查、安全教育培训、开展应急演练、规整监管资料、突发事件处置等工作，具体内容如下：</w:t>
            </w:r>
          </w:p>
          <w:p>
            <w:pPr>
              <w:pStyle w:val="null3"/>
              <w:spacing w:before="105" w:after="105"/>
              <w:jc w:val="left"/>
              <w:outlineLvl w:val="1"/>
            </w:pPr>
            <w:r>
              <w:rPr>
                <w:rFonts w:ascii="仿宋_GB2312" w:hAnsi="仿宋_GB2312" w:cs="仿宋_GB2312" w:eastAsia="仿宋_GB2312"/>
                <w:sz w:val="24"/>
                <w:b/>
              </w:rPr>
              <w:t>1.区域安全现状调研</w:t>
            </w:r>
          </w:p>
          <w:p>
            <w:pPr>
              <w:pStyle w:val="null3"/>
              <w:spacing w:before="105" w:after="105"/>
              <w:jc w:val="left"/>
              <w:outlineLvl w:val="1"/>
            </w:pPr>
            <w:r>
              <w:rPr>
                <w:rFonts w:ascii="仿宋_GB2312" w:hAnsi="仿宋_GB2312" w:cs="仿宋_GB2312" w:eastAsia="仿宋_GB2312"/>
                <w:sz w:val="24"/>
                <w:b/>
              </w:rPr>
              <w:t>对接区内商贸领域安全生产工作人员，配合全域摸排辖区商贸行业安全管理现状、风险点位及管理漏洞。</w:t>
            </w:r>
          </w:p>
          <w:p>
            <w:pPr>
              <w:pStyle w:val="null3"/>
              <w:spacing w:before="105" w:after="105"/>
              <w:jc w:val="left"/>
              <w:outlineLvl w:val="1"/>
            </w:pPr>
            <w:r>
              <w:rPr>
                <w:rFonts w:ascii="仿宋_GB2312" w:hAnsi="仿宋_GB2312" w:cs="仿宋_GB2312" w:eastAsia="仿宋_GB2312"/>
                <w:sz w:val="24"/>
                <w:b/>
              </w:rPr>
              <w:t>2.协助开展安全生产监督检查与隐患治理</w:t>
            </w:r>
          </w:p>
          <w:p>
            <w:pPr>
              <w:pStyle w:val="null3"/>
              <w:spacing w:before="105" w:after="105"/>
              <w:jc w:val="left"/>
            </w:pPr>
            <w:r>
              <w:rPr>
                <w:rFonts w:ascii="仿宋_GB2312" w:hAnsi="仿宋_GB2312" w:cs="仿宋_GB2312" w:eastAsia="仿宋_GB2312"/>
                <w:sz w:val="24"/>
              </w:rPr>
              <w:t>①协助开展日常巡查、专项排查、联合执法检查，覆盖酒店、商业综合体、超市、加油站、汽车销售等经营主体。现场排查消防、电气、特种设备、危化存储、疏散通道等安全隐患，出具隐患检查文书、问题诊断报告及整改指导意见。</w:t>
            </w:r>
          </w:p>
          <w:p>
            <w:pPr>
              <w:pStyle w:val="null3"/>
              <w:spacing w:before="105" w:after="105"/>
              <w:jc w:val="left"/>
            </w:pPr>
            <w:r>
              <w:rPr>
                <w:rFonts w:ascii="仿宋_GB2312" w:hAnsi="仿宋_GB2312" w:cs="仿宋_GB2312" w:eastAsia="仿宋_GB2312"/>
                <w:sz w:val="24"/>
              </w:rPr>
              <w:t>②建立隐患排查治理台账，跟踪督促企业整改，开展整改复查核验，实现隐患排查 — 交办 — 整改 — 复查 — 销号闭环管理。</w:t>
            </w:r>
          </w:p>
          <w:p>
            <w:pPr>
              <w:pStyle w:val="null3"/>
              <w:spacing w:before="105" w:after="105"/>
              <w:jc w:val="left"/>
            </w:pPr>
            <w:r>
              <w:rPr>
                <w:rFonts w:ascii="仿宋_GB2312" w:hAnsi="仿宋_GB2312" w:cs="仿宋_GB2312" w:eastAsia="仿宋_GB2312"/>
                <w:sz w:val="24"/>
              </w:rPr>
              <w:t>③配合节假日、汛期、重大会议等关键时段专项安全检查、值守核查工作。</w:t>
            </w:r>
          </w:p>
          <w:p>
            <w:pPr>
              <w:pStyle w:val="null3"/>
              <w:spacing w:before="105" w:after="105"/>
              <w:jc w:val="left"/>
              <w:outlineLvl w:val="1"/>
            </w:pPr>
            <w:r>
              <w:rPr>
                <w:rFonts w:ascii="仿宋_GB2312" w:hAnsi="仿宋_GB2312" w:cs="仿宋_GB2312" w:eastAsia="仿宋_GB2312"/>
                <w:sz w:val="24"/>
                <w:b/>
              </w:rPr>
              <w:t>3.安全生产教育培训服务</w:t>
            </w:r>
          </w:p>
          <w:p>
            <w:pPr>
              <w:pStyle w:val="null3"/>
              <w:spacing w:before="105" w:after="105"/>
              <w:jc w:val="left"/>
            </w:pPr>
            <w:r>
              <w:rPr>
                <w:rFonts w:ascii="仿宋_GB2312" w:hAnsi="仿宋_GB2312" w:cs="仿宋_GB2312" w:eastAsia="仿宋_GB2312"/>
                <w:sz w:val="24"/>
              </w:rPr>
              <w:t>①聘请安全专业专家，按约定频次开展辖区企业管理人员、从业人员安全专题培训。</w:t>
            </w:r>
          </w:p>
          <w:p>
            <w:pPr>
              <w:pStyle w:val="null3"/>
              <w:spacing w:before="105" w:after="105"/>
              <w:jc w:val="left"/>
            </w:pPr>
            <w:r>
              <w:rPr>
                <w:rFonts w:ascii="仿宋_GB2312" w:hAnsi="仿宋_GB2312" w:cs="仿宋_GB2312" w:eastAsia="仿宋_GB2312"/>
                <w:sz w:val="24"/>
              </w:rPr>
              <w:t>②围绕安全责任、风险辨识、现场管控、法律法规、操作规程授课，提升人员安全素养与管理能力。</w:t>
            </w:r>
          </w:p>
          <w:p>
            <w:pPr>
              <w:pStyle w:val="null3"/>
              <w:spacing w:before="105" w:after="105"/>
              <w:jc w:val="left"/>
              <w:outlineLvl w:val="1"/>
            </w:pPr>
            <w:r>
              <w:rPr>
                <w:rFonts w:ascii="仿宋_GB2312" w:hAnsi="仿宋_GB2312" w:cs="仿宋_GB2312" w:eastAsia="仿宋_GB2312"/>
                <w:sz w:val="24"/>
                <w:b/>
              </w:rPr>
              <w:t>4.安全宣传、文化建设与应急演练指导</w:t>
            </w:r>
          </w:p>
          <w:p>
            <w:pPr>
              <w:pStyle w:val="null3"/>
              <w:spacing w:before="105" w:after="105"/>
              <w:jc w:val="left"/>
            </w:pPr>
            <w:r>
              <w:rPr>
                <w:rFonts w:ascii="仿宋_GB2312" w:hAnsi="仿宋_GB2312" w:cs="仿宋_GB2312" w:eastAsia="仿宋_GB2312"/>
                <w:sz w:val="24"/>
              </w:rPr>
              <w:t>①宣传普及安全生产法律法规、行业标准及最新政策要求，协助开展各类安全普法宣教活动。</w:t>
            </w:r>
          </w:p>
          <w:p>
            <w:pPr>
              <w:pStyle w:val="null3"/>
              <w:spacing w:before="105" w:after="105"/>
              <w:jc w:val="left"/>
            </w:pPr>
            <w:r>
              <w:rPr>
                <w:rFonts w:ascii="仿宋_GB2312" w:hAnsi="仿宋_GB2312" w:cs="仿宋_GB2312" w:eastAsia="仿宋_GB2312"/>
                <w:sz w:val="24"/>
              </w:rPr>
              <w:t>②指导辖区企业推进安全文化建设，规范安全警示、日常管控体系建设。</w:t>
            </w:r>
          </w:p>
          <w:p>
            <w:pPr>
              <w:pStyle w:val="null3"/>
              <w:spacing w:before="105" w:after="105"/>
              <w:jc w:val="left"/>
            </w:pPr>
            <w:r>
              <w:rPr>
                <w:rFonts w:ascii="仿宋_GB2312" w:hAnsi="仿宋_GB2312" w:cs="仿宋_GB2312" w:eastAsia="仿宋_GB2312"/>
                <w:sz w:val="24"/>
              </w:rPr>
              <w:t>③协助策划、组织、指导消防疏散、火灾扑救、突发事件处置等应急演练，优化应急处置流程。</w:t>
            </w:r>
          </w:p>
          <w:p>
            <w:pPr>
              <w:pStyle w:val="null3"/>
              <w:spacing w:before="105" w:after="105"/>
              <w:jc w:val="left"/>
              <w:outlineLvl w:val="1"/>
            </w:pPr>
            <w:r>
              <w:rPr>
                <w:rFonts w:ascii="仿宋_GB2312" w:hAnsi="仿宋_GB2312" w:cs="仿宋_GB2312" w:eastAsia="仿宋_GB2312"/>
                <w:sz w:val="24"/>
                <w:b/>
              </w:rPr>
              <w:t>5.安全风险评估与技术咨询</w:t>
            </w:r>
          </w:p>
          <w:p>
            <w:pPr>
              <w:pStyle w:val="null3"/>
              <w:spacing w:before="105" w:after="105"/>
              <w:jc w:val="left"/>
            </w:pPr>
            <w:r>
              <w:rPr>
                <w:rFonts w:ascii="仿宋_GB2312" w:hAnsi="仿宋_GB2312" w:cs="仿宋_GB2312" w:eastAsia="仿宋_GB2312"/>
                <w:sz w:val="24"/>
              </w:rPr>
              <w:t>①开展区域性、行业性安全风险辨识、分级评估，研判安全管控难点。</w:t>
            </w:r>
          </w:p>
          <w:p>
            <w:pPr>
              <w:pStyle w:val="null3"/>
              <w:spacing w:before="105" w:after="105"/>
              <w:jc w:val="left"/>
            </w:pPr>
            <w:r>
              <w:rPr>
                <w:rFonts w:ascii="仿宋_GB2312" w:hAnsi="仿宋_GB2312" w:cs="仿宋_GB2312" w:eastAsia="仿宋_GB2312"/>
                <w:sz w:val="24"/>
              </w:rPr>
              <w:t>②为部门日常监管、风险防控、隐患治理提供专业技术咨询、合规答疑服务。</w:t>
            </w:r>
          </w:p>
          <w:p>
            <w:pPr>
              <w:pStyle w:val="null3"/>
              <w:spacing w:before="105" w:after="105"/>
              <w:jc w:val="left"/>
              <w:outlineLvl w:val="1"/>
            </w:pPr>
            <w:r>
              <w:rPr>
                <w:rFonts w:ascii="仿宋_GB2312" w:hAnsi="仿宋_GB2312" w:cs="仿宋_GB2312" w:eastAsia="仿宋_GB2312"/>
                <w:sz w:val="24"/>
                <w:b/>
              </w:rPr>
              <w:t>6.安全资料台账规整与报告编撰</w:t>
            </w:r>
          </w:p>
          <w:p>
            <w:pPr>
              <w:pStyle w:val="null3"/>
              <w:spacing w:before="105" w:after="105"/>
              <w:jc w:val="left"/>
            </w:pPr>
            <w:r>
              <w:rPr>
                <w:rFonts w:ascii="仿宋_GB2312" w:hAnsi="仿宋_GB2312" w:cs="仿宋_GB2312" w:eastAsia="仿宋_GB2312"/>
                <w:sz w:val="24"/>
              </w:rPr>
              <w:t>①协助整理检查记录、培训档案、演练资料、隐患台账等监管归档材料。</w:t>
            </w:r>
          </w:p>
          <w:p>
            <w:pPr>
              <w:pStyle w:val="null3"/>
              <w:spacing w:before="105" w:after="105"/>
              <w:jc w:val="left"/>
            </w:pPr>
            <w:r>
              <w:rPr>
                <w:rFonts w:ascii="仿宋_GB2312" w:hAnsi="仿宋_GB2312" w:cs="仿宋_GB2312" w:eastAsia="仿宋_GB2312"/>
                <w:sz w:val="24"/>
              </w:rPr>
              <w:t>②协助撰写安全工作总结、专项分析、考核自评、管控评估等各类文书报告。</w:t>
            </w:r>
          </w:p>
          <w:p>
            <w:pPr>
              <w:pStyle w:val="null3"/>
              <w:spacing w:before="105" w:after="105"/>
              <w:jc w:val="left"/>
              <w:outlineLvl w:val="1"/>
            </w:pPr>
            <w:r>
              <w:rPr>
                <w:rFonts w:ascii="仿宋_GB2312" w:hAnsi="仿宋_GB2312" w:cs="仿宋_GB2312" w:eastAsia="仿宋_GB2312"/>
                <w:sz w:val="24"/>
                <w:b/>
              </w:rPr>
              <w:t>7.突发事件技术协助</w:t>
            </w:r>
          </w:p>
          <w:p>
            <w:pPr>
              <w:pStyle w:val="null3"/>
              <w:spacing w:before="105" w:after="105"/>
              <w:jc w:val="left"/>
            </w:pPr>
            <w:r>
              <w:rPr>
                <w:rFonts w:ascii="仿宋_GB2312" w:hAnsi="仿宋_GB2312" w:cs="仿宋_GB2312" w:eastAsia="仿宋_GB2312"/>
                <w:sz w:val="24"/>
              </w:rPr>
              <w:t>辖区发生安全险情、突发事件时，提供现场技术研判、处置参考建议，配合事后隐患复盘与防范措施梳理。</w:t>
            </w:r>
          </w:p>
          <w:p>
            <w:pPr>
              <w:pStyle w:val="null3"/>
              <w:spacing w:before="105" w:after="105"/>
              <w:jc w:val="left"/>
              <w:outlineLvl w:val="1"/>
            </w:pPr>
            <w:r>
              <w:rPr>
                <w:rFonts w:ascii="仿宋_GB2312" w:hAnsi="仿宋_GB2312" w:cs="仿宋_GB2312" w:eastAsia="仿宋_GB2312"/>
                <w:sz w:val="24"/>
                <w:b/>
              </w:rPr>
              <w:t>8.其他约定安全技术服务</w:t>
            </w:r>
          </w:p>
          <w:p>
            <w:pPr>
              <w:pStyle w:val="null3"/>
              <w:spacing w:before="105" w:after="105"/>
              <w:jc w:val="left"/>
            </w:pPr>
            <w:r>
              <w:rPr>
                <w:rFonts w:ascii="仿宋_GB2312" w:hAnsi="仿宋_GB2312" w:cs="仿宋_GB2312" w:eastAsia="仿宋_GB2312"/>
                <w:sz w:val="24"/>
              </w:rPr>
              <w:t>根据部门工作需求，承接临时性安全帮扶、专项整治、迎检筹备、安全标准化指导等相关技术服务。</w:t>
            </w:r>
          </w:p>
          <w:p>
            <w:pPr>
              <w:pStyle w:val="null3"/>
              <w:spacing w:before="105" w:after="105"/>
              <w:jc w:val="left"/>
            </w:pPr>
            <w:r>
              <w:rPr>
                <w:rFonts w:ascii="仿宋_GB2312" w:hAnsi="仿宋_GB2312" w:cs="仿宋_GB2312" w:eastAsia="仿宋_GB2312"/>
                <w:sz w:val="24"/>
              </w:rPr>
              <w:t>三、服务要求</w:t>
            </w:r>
          </w:p>
          <w:p>
            <w:pPr>
              <w:pStyle w:val="null3"/>
              <w:spacing w:before="105" w:after="105"/>
              <w:jc w:val="left"/>
            </w:pPr>
            <w:r>
              <w:rPr>
                <w:rFonts w:ascii="仿宋_GB2312" w:hAnsi="仿宋_GB2312" w:cs="仿宋_GB2312" w:eastAsia="仿宋_GB2312"/>
                <w:sz w:val="24"/>
              </w:rPr>
              <w:t>针对区内商贸行业安全生产形势，配合采购人工作安排进行安全生产检查服务，对全区商贸企业进行全覆盖安全生产隐患排查，重大安全隐患排查整改、燃气安全、有限空间作业、防汛抗汛及日常安全隐患排查等技术服务，形成检查清单、隐患台账、专项行动工作汇报、隐患复查及隐患闭环销号等工作，服务期满提交全年服务报告。配备相关技术服务人员不得少于</w:t>
            </w:r>
            <w:r>
              <w:rPr>
                <w:rFonts w:ascii="仿宋_GB2312" w:hAnsi="仿宋_GB2312" w:cs="仿宋_GB2312" w:eastAsia="仿宋_GB2312"/>
                <w:sz w:val="24"/>
              </w:rPr>
              <w:t>4人。</w:t>
            </w:r>
          </w:p>
          <w:p>
            <w:pPr>
              <w:pStyle w:val="null3"/>
              <w:spacing w:before="105" w:after="105"/>
              <w:jc w:val="left"/>
            </w:pPr>
            <w:r>
              <w:rPr>
                <w:rFonts w:ascii="仿宋_GB2312" w:hAnsi="仿宋_GB2312" w:cs="仿宋_GB2312" w:eastAsia="仿宋_GB2312"/>
                <w:sz w:val="24"/>
              </w:rPr>
              <w:t>四、商务要求</w:t>
            </w:r>
          </w:p>
          <w:p>
            <w:pPr>
              <w:pStyle w:val="null3"/>
              <w:spacing w:before="105" w:after="105"/>
              <w:jc w:val="left"/>
            </w:pPr>
            <w:r>
              <w:rPr>
                <w:rFonts w:ascii="仿宋_GB2312" w:hAnsi="仿宋_GB2312" w:cs="仿宋_GB2312" w:eastAsia="仿宋_GB2312"/>
                <w:sz w:val="24"/>
              </w:rPr>
              <w:t>(一)服务期限</w:t>
            </w:r>
          </w:p>
          <w:p>
            <w:pPr>
              <w:pStyle w:val="null3"/>
              <w:spacing w:before="105" w:after="105"/>
              <w:jc w:val="left"/>
            </w:pPr>
            <w:r>
              <w:rPr>
                <w:rFonts w:ascii="仿宋_GB2312" w:hAnsi="仿宋_GB2312" w:cs="仿宋_GB2312" w:eastAsia="仿宋_GB2312"/>
                <w:sz w:val="24"/>
              </w:rPr>
              <w:t>自合同签订之日起一年。</w:t>
            </w:r>
          </w:p>
          <w:p>
            <w:pPr>
              <w:pStyle w:val="null3"/>
              <w:spacing w:before="105" w:after="105"/>
              <w:jc w:val="left"/>
            </w:pPr>
            <w:r>
              <w:rPr>
                <w:rFonts w:ascii="仿宋_GB2312" w:hAnsi="仿宋_GB2312" w:cs="仿宋_GB2312" w:eastAsia="仿宋_GB2312"/>
                <w:sz w:val="24"/>
              </w:rPr>
              <w:t>(二)款项结算</w:t>
            </w:r>
          </w:p>
          <w:p>
            <w:pPr>
              <w:pStyle w:val="null3"/>
              <w:spacing w:before="105" w:after="105"/>
              <w:jc w:val="left"/>
            </w:pPr>
            <w:r>
              <w:rPr>
                <w:rFonts w:ascii="仿宋_GB2312" w:hAnsi="仿宋_GB2312" w:cs="仿宋_GB2312" w:eastAsia="仿宋_GB2312"/>
                <w:sz w:val="24"/>
              </w:rPr>
              <w:t>1.预付款支付条款：</w:t>
            </w:r>
          </w:p>
          <w:p>
            <w:pPr>
              <w:pStyle w:val="null3"/>
              <w:spacing w:before="105" w:after="105"/>
              <w:jc w:val="left"/>
            </w:pPr>
            <w:r>
              <w:rPr>
                <w:rFonts w:ascii="仿宋_GB2312" w:hAnsi="仿宋_GB2312" w:cs="仿宋_GB2312" w:eastAsia="仿宋_GB2312"/>
                <w:sz w:val="24"/>
              </w:rPr>
              <w:t>(1)合同设置预付款；</w:t>
            </w:r>
          </w:p>
          <w:p>
            <w:pPr>
              <w:pStyle w:val="null3"/>
              <w:spacing w:before="105" w:after="105"/>
              <w:jc w:val="left"/>
            </w:pPr>
            <w:r>
              <w:rPr>
                <w:rFonts w:ascii="仿宋_GB2312" w:hAnsi="仿宋_GB2312" w:cs="仿宋_GB2312" w:eastAsia="仿宋_GB2312"/>
                <w:sz w:val="24"/>
              </w:rPr>
              <w:t>(2)预付款金额：合同签订后预付合同总价款的40%；</w:t>
            </w:r>
          </w:p>
          <w:p>
            <w:pPr>
              <w:pStyle w:val="null3"/>
              <w:spacing w:before="105" w:after="105"/>
              <w:jc w:val="left"/>
            </w:pPr>
            <w:r>
              <w:rPr>
                <w:rFonts w:ascii="仿宋_GB2312" w:hAnsi="仿宋_GB2312" w:cs="仿宋_GB2312" w:eastAsia="仿宋_GB2312"/>
                <w:sz w:val="24"/>
              </w:rPr>
              <w:t>(3)预付款支付条件:合同签订后30日内；</w:t>
            </w:r>
          </w:p>
          <w:p>
            <w:pPr>
              <w:pStyle w:val="null3"/>
              <w:spacing w:before="105" w:after="105"/>
              <w:jc w:val="left"/>
            </w:pPr>
            <w:r>
              <w:rPr>
                <w:rFonts w:ascii="仿宋_GB2312" w:hAnsi="仿宋_GB2312" w:cs="仿宋_GB2312" w:eastAsia="仿宋_GB2312"/>
                <w:sz w:val="24"/>
              </w:rPr>
              <w:t>(4)其他:本项目预付款是根据政府采购相关政策规定要求，采购人为帮助成交供应商解决项目前期启动资金困难，保证成交供应商更有条件履行合同的保障性支援性资金。成交供应商应保证该资金用于项目前期各项工作费用，不得挪作他用，若因此项目进展受到影响，成交供应商承担由此引起的所有责任。</w:t>
            </w:r>
          </w:p>
          <w:p>
            <w:pPr>
              <w:pStyle w:val="null3"/>
              <w:spacing w:before="105" w:after="105"/>
              <w:jc w:val="left"/>
            </w:pPr>
            <w:r>
              <w:rPr>
                <w:rFonts w:ascii="仿宋_GB2312" w:hAnsi="仿宋_GB2312" w:cs="仿宋_GB2312" w:eastAsia="仿宋_GB2312"/>
                <w:sz w:val="24"/>
              </w:rPr>
              <w:t>2.剩余款项支付条款：</w:t>
            </w:r>
          </w:p>
          <w:p>
            <w:pPr>
              <w:pStyle w:val="null3"/>
              <w:spacing w:before="105" w:after="105"/>
              <w:jc w:val="left"/>
            </w:pPr>
            <w:r>
              <w:rPr>
                <w:rFonts w:ascii="仿宋_GB2312" w:hAnsi="仿宋_GB2312" w:cs="仿宋_GB2312" w:eastAsia="仿宋_GB2312"/>
                <w:sz w:val="24"/>
              </w:rPr>
              <w:t>待服务期限结束并经采购人验收合格后，支付剩余</w:t>
            </w:r>
            <w:r>
              <w:rPr>
                <w:rFonts w:ascii="仿宋_GB2312" w:hAnsi="仿宋_GB2312" w:cs="仿宋_GB2312" w:eastAsia="仿宋_GB2312"/>
                <w:sz w:val="24"/>
              </w:rPr>
              <w:t>60%合同总价款。</w:t>
            </w:r>
          </w:p>
          <w:p>
            <w:pPr>
              <w:pStyle w:val="null3"/>
              <w:spacing w:before="105" w:after="105"/>
              <w:jc w:val="left"/>
            </w:pPr>
            <w:r>
              <w:rPr>
                <w:rFonts w:ascii="仿宋_GB2312" w:hAnsi="仿宋_GB2312" w:cs="仿宋_GB2312" w:eastAsia="仿宋_GB2312"/>
                <w:sz w:val="24"/>
              </w:rPr>
              <w:t>注</w:t>
            </w:r>
            <w:r>
              <w:rPr>
                <w:rFonts w:ascii="仿宋_GB2312" w:hAnsi="仿宋_GB2312" w:cs="仿宋_GB2312" w:eastAsia="仿宋_GB2312"/>
                <w:sz w:val="24"/>
              </w:rPr>
              <w:t>:成交供应商应向采购人出具符合国家财税规定的增值税发票,否则采购人有权延迟履行付款义务。如因成交供应商缘故(如开具增值税发票延误等)导致采购人无法按时付款，采购人不承担违约责任。如遇突发事件，付款日期则以实际付款日期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配备相关技术服务人员不得少于4人。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预付款，合同签订后甲方支付给乙方预付款，达到付款条件起30个工作日内，支付合同总金额的40.0%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其他，待服务期限结束并经甲方验收合格后，支付剩余合同价款，达到付款条件起30个工作日内，支付合同总金额的60.0%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号）规定的划分标准：（十六）其他未列明行业。从业人员300人以下的为中小微型企业。其中，从业人员100人及以上的为中型企业；从业人员10人及以上的为小型企业；从业人员10人以下的为微型企业。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首次磋商报价表及分项报价表.docx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商务应答表.docx 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供针对本项目的背景、现状情况收集与理解分析；项目认知层次清晰、针对性强、与采购内容的吻合程度高的，得6分；项目认知逻辑层次较清晰、针对性较强、与采购内容的吻合程度一般，内容较简单的，得4分；项目认知层次不清晰、不全面，得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1、提供针对本项目的隐患排查方案，方案包含： ①排查内容（7分） 排查内容包含全区商贸企业（餐饮业、住宿业、再生资源行业、汽车行业、成品油流通行业、超市、商业综合体），排查方法全面、科学合理，明确排查频次和责任人，得 7 分；排查内容包含大部分关键内容，排查方法合理，明确排查频次，得 4 分；排查内容涵盖部分关键环节，排查方法单一，未明确排查频次，得 2 分；未提供不得分。 ②排查范围（7分） 排查范围涵盖燃气安全、有限空间作业、防汛抗汛等方面，排查工作贯穿项目各个阶段、科学合理，得 7 分；排查范围涉及大部分关键内容，排查工作涉及项目关键阶段，得 4 分；排查范围狭隘，排查工作涉及项目部分阶段，得 2 分；未提供不得分。 2、提供针对本项目的隐患整改复查方案；针对不同类型隐患提出的整改方案科学合理，具有可操作性，整改计划明确每个隐患的整改时限、责任人和验收标准，复查时间安排科学合理得 7 分；针对主要隐患提出的整改方案基本合理，整改计划明确主要隐患的整改时限和责任人，得 4 分；整改方案缺乏针对性，治整改计划不完整，得 2 分；未提供不得分。 3、提供针对本项目的应急演练方案；应急演练方案符合国家相关标准，演练准备充分，实施过程流畅，应急处置高效，全面达到演练目标，得7 分；应急演练方案基本符合标准，应急处置有效，达到预期目标，得 4 分；应急演练方案不符合标准，准备不足、应急处置混乱、不规范，得 2 分；未提供不得分。 4、提供针对本项目的安全培训方案； ①安全生产教育培训服务方案（7分） 培训内容围绕安全责任、风险辨识、现场管控、法律法规、操作规程授课，培训计划明确每月培训主题和时长，得 7分；培训内容围绕关键内容授课，培训计划明确季度培训安排，得 4 分；培训内容与采购需求脱节，培训方式单一，培训计划不明确，得2 分；未提供不得分。 ②安全宣传、文化建设方案（7分） 宣传内容包含安全生产法律法规、行业标准、最新政策要求以及各类安全普法宣教活动；内容完整、可实施、且有针对性得7分；内容完整、可实施得4分；方案基本完整得2分；未提供不得分。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提供针对本项目的合理化建议；建议内容合理，针对性强、明确、全面得6分；建议内容有针对性，但尚有优化空间得4分；建议内容不完善、表述前后不一致、得2分；未提供不得分。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突发事件技术协助</w:t>
            </w:r>
          </w:p>
        </w:tc>
        <w:tc>
          <w:tcPr>
            <w:tcW w:type="dxa" w:w="2492"/>
          </w:tcPr>
          <w:p>
            <w:pPr>
              <w:pStyle w:val="null3"/>
            </w:pPr>
            <w:r>
              <w:rPr>
                <w:rFonts w:ascii="仿宋_GB2312" w:hAnsi="仿宋_GB2312" w:cs="仿宋_GB2312" w:eastAsia="仿宋_GB2312"/>
              </w:rPr>
              <w:t>提供针对本项目的突发事件技术协助方案，内容完整、可实施、且有针对性得6分；内容完整、可实施得4分；方案基本完整得2分；未提供不得分。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1.服务团队人员专业结构科学合理，流程熟悉等，具备处理复杂问题的能力，逻辑结构清晰且具有针对性，得6分；服务团队人员专业结构较合理，流程较熟悉，逻辑结构完整，得4 分；服务团队人员专业结构不合理，配备方案含糊合理性不足，逻辑结构不清晰，得2 分；未提供不得分。 2.服务团队人员中配备一定数量的注册安全工程师，提供 1 名得 2 分，本项最高得 4分。（提供证书复印件，以及人员在响应文件截止时间前6个月内任意一个月在本单位缴纳的社保证明）未提供不得分。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提供针对本项目的保密措施； 保密措施内容详细完整，且利于项目实施的得 5分；保密措施内容满足本项目需求合理且不影响项目实施的得3分；保密措施内容有欠缺，影响到项目实施的得1分；未提供不得分。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提供2023年1月1日至今类似项目业绩，提供1份得2.5分，满分5分。（以合同签订时间为准，提供合同复印件）未提供不得分。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详见附件：首次磋商报价表及分项报价表.docx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详见附件：拟签订的合同文本-全区商贸行业安全生产技术服务项目.docx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