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C09FF">
      <w:pPr>
        <w:pStyle w:val="4"/>
        <w:tabs>
          <w:tab w:val="left" w:pos="567"/>
        </w:tabs>
        <w:spacing w:line="240" w:lineRule="auto"/>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全区商贸行业安全生产技术服务项目</w:t>
      </w:r>
    </w:p>
    <w:p w14:paraId="52F8F2C7">
      <w:pPr>
        <w:spacing w:line="240" w:lineRule="auto"/>
        <w:jc w:val="center"/>
        <w:rPr>
          <w:rFonts w:hint="eastAsia" w:ascii="仿宋" w:hAnsi="仿宋" w:eastAsia="仿宋" w:cs="仿宋"/>
          <w:b/>
          <w:sz w:val="40"/>
          <w:szCs w:val="40"/>
          <w:highlight w:val="none"/>
        </w:rPr>
      </w:pPr>
    </w:p>
    <w:p w14:paraId="2C8F0A54">
      <w:pPr>
        <w:spacing w:line="240" w:lineRule="auto"/>
        <w:rPr>
          <w:rFonts w:hint="eastAsia" w:ascii="仿宋" w:hAnsi="仿宋" w:eastAsia="仿宋" w:cs="仿宋"/>
          <w:sz w:val="40"/>
          <w:szCs w:val="40"/>
          <w:highlight w:val="none"/>
        </w:rPr>
      </w:pPr>
    </w:p>
    <w:p w14:paraId="42D9106C">
      <w:pPr>
        <w:spacing w:line="240" w:lineRule="auto"/>
        <w:rPr>
          <w:rFonts w:hint="eastAsia" w:ascii="仿宋" w:hAnsi="仿宋" w:eastAsia="仿宋" w:cs="仿宋"/>
          <w:sz w:val="40"/>
          <w:szCs w:val="40"/>
          <w:highlight w:val="none"/>
        </w:rPr>
      </w:pPr>
    </w:p>
    <w:p w14:paraId="5BC68C9B">
      <w:pPr>
        <w:spacing w:line="240" w:lineRule="auto"/>
        <w:rPr>
          <w:rFonts w:hint="eastAsia" w:ascii="仿宋" w:hAnsi="仿宋" w:eastAsia="仿宋" w:cs="仿宋"/>
          <w:sz w:val="40"/>
          <w:szCs w:val="40"/>
          <w:highlight w:val="none"/>
        </w:rPr>
      </w:pPr>
    </w:p>
    <w:p w14:paraId="3567B70F">
      <w:pPr>
        <w:spacing w:line="240" w:lineRule="auto"/>
        <w:rPr>
          <w:rFonts w:hint="eastAsia" w:ascii="仿宋" w:hAnsi="仿宋" w:eastAsia="仿宋" w:cs="仿宋"/>
          <w:sz w:val="40"/>
          <w:szCs w:val="40"/>
          <w:highlight w:val="none"/>
        </w:rPr>
      </w:pPr>
    </w:p>
    <w:p w14:paraId="650D2948">
      <w:pPr>
        <w:spacing w:line="24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合 同 书</w:t>
      </w:r>
    </w:p>
    <w:p w14:paraId="1E22466C">
      <w:pPr>
        <w:spacing w:line="24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（仅供参考，具体合同内容以甲乙双方签订为准）</w:t>
      </w:r>
    </w:p>
    <w:p w14:paraId="1D425FB8">
      <w:pPr>
        <w:spacing w:line="240" w:lineRule="auto"/>
        <w:jc w:val="center"/>
        <w:rPr>
          <w:rFonts w:hint="eastAsia" w:ascii="仿宋" w:hAnsi="仿宋" w:eastAsia="仿宋" w:cs="仿宋"/>
          <w:b/>
          <w:sz w:val="28"/>
          <w:szCs w:val="28"/>
          <w:highlight w:val="none"/>
        </w:rPr>
      </w:pPr>
    </w:p>
    <w:p w14:paraId="003ABCE9">
      <w:pPr>
        <w:spacing w:line="240" w:lineRule="auto"/>
        <w:rPr>
          <w:rFonts w:hint="eastAsia" w:ascii="仿宋" w:hAnsi="仿宋" w:eastAsia="仿宋" w:cs="仿宋"/>
          <w:b/>
          <w:sz w:val="28"/>
          <w:szCs w:val="28"/>
          <w:highlight w:val="none"/>
        </w:rPr>
      </w:pPr>
    </w:p>
    <w:p w14:paraId="1C83084E">
      <w:pPr>
        <w:spacing w:line="240" w:lineRule="auto"/>
        <w:rPr>
          <w:rFonts w:hint="eastAsia" w:ascii="仿宋" w:hAnsi="仿宋" w:eastAsia="仿宋" w:cs="仿宋"/>
          <w:sz w:val="28"/>
          <w:szCs w:val="28"/>
          <w:highlight w:val="none"/>
        </w:rPr>
      </w:pPr>
    </w:p>
    <w:p w14:paraId="2F91A1B6">
      <w:pPr>
        <w:spacing w:line="240" w:lineRule="auto"/>
        <w:rPr>
          <w:rFonts w:hint="eastAsia" w:ascii="仿宋" w:hAnsi="仿宋" w:eastAsia="仿宋" w:cs="仿宋"/>
          <w:sz w:val="28"/>
          <w:szCs w:val="28"/>
          <w:highlight w:val="none"/>
        </w:rPr>
      </w:pPr>
    </w:p>
    <w:p w14:paraId="249AF4CA">
      <w:pPr>
        <w:spacing w:line="240" w:lineRule="auto"/>
        <w:rPr>
          <w:rFonts w:hint="eastAsia" w:ascii="仿宋" w:hAnsi="仿宋" w:eastAsia="仿宋" w:cs="仿宋"/>
          <w:sz w:val="28"/>
          <w:szCs w:val="28"/>
          <w:highlight w:val="none"/>
        </w:rPr>
      </w:pPr>
    </w:p>
    <w:p w14:paraId="2EB354B4">
      <w:pPr>
        <w:spacing w:line="240" w:lineRule="auto"/>
        <w:rPr>
          <w:rFonts w:hint="eastAsia" w:ascii="仿宋" w:hAnsi="仿宋" w:eastAsia="仿宋" w:cs="仿宋"/>
          <w:sz w:val="28"/>
          <w:szCs w:val="28"/>
          <w:highlight w:val="none"/>
        </w:rPr>
      </w:pPr>
    </w:p>
    <w:p w14:paraId="48F28F78">
      <w:pPr>
        <w:spacing w:line="240" w:lineRule="auto"/>
        <w:rPr>
          <w:rFonts w:hint="eastAsia" w:ascii="仿宋" w:hAnsi="仿宋" w:eastAsia="仿宋" w:cs="仿宋"/>
          <w:sz w:val="28"/>
          <w:szCs w:val="28"/>
          <w:highlight w:val="none"/>
        </w:rPr>
      </w:pPr>
    </w:p>
    <w:p w14:paraId="12AEFE38">
      <w:pPr>
        <w:spacing w:line="240" w:lineRule="auto"/>
        <w:rPr>
          <w:rFonts w:hint="eastAsia" w:ascii="仿宋" w:hAnsi="仿宋" w:eastAsia="仿宋" w:cs="仿宋"/>
          <w:sz w:val="28"/>
          <w:szCs w:val="28"/>
          <w:highlight w:val="none"/>
        </w:rPr>
      </w:pPr>
    </w:p>
    <w:p w14:paraId="24609CFC">
      <w:pPr>
        <w:spacing w:line="240" w:lineRule="auto"/>
        <w:rPr>
          <w:rFonts w:hint="eastAsia" w:ascii="仿宋" w:hAnsi="仿宋" w:eastAsia="仿宋" w:cs="仿宋"/>
          <w:sz w:val="28"/>
          <w:szCs w:val="28"/>
          <w:highlight w:val="none"/>
        </w:rPr>
      </w:pPr>
    </w:p>
    <w:p w14:paraId="0A4E4441">
      <w:pPr>
        <w:spacing w:line="240" w:lineRule="auto"/>
        <w:rPr>
          <w:rFonts w:hint="eastAsia" w:ascii="仿宋" w:hAnsi="仿宋" w:eastAsia="仿宋" w:cs="仿宋"/>
          <w:sz w:val="28"/>
          <w:szCs w:val="28"/>
          <w:highlight w:val="none"/>
        </w:rPr>
      </w:pPr>
    </w:p>
    <w:p w14:paraId="29A6D4FB">
      <w:pPr>
        <w:spacing w:line="240" w:lineRule="auto"/>
        <w:rPr>
          <w:rFonts w:hint="eastAsia" w:ascii="仿宋" w:hAnsi="仿宋" w:eastAsia="仿宋" w:cs="仿宋"/>
          <w:sz w:val="28"/>
          <w:szCs w:val="28"/>
          <w:highlight w:val="none"/>
        </w:rPr>
      </w:pPr>
    </w:p>
    <w:p w14:paraId="019C3980">
      <w:pPr>
        <w:pStyle w:val="4"/>
        <w:tabs>
          <w:tab w:val="left" w:pos="567"/>
        </w:tabs>
        <w:spacing w:line="240" w:lineRule="auto"/>
        <w:rPr>
          <w:rFonts w:hint="eastAsia" w:ascii="仿宋" w:hAnsi="仿宋" w:eastAsia="仿宋" w:cs="仿宋"/>
          <w:sz w:val="28"/>
          <w:szCs w:val="28"/>
          <w:highlight w:val="none"/>
        </w:rPr>
      </w:pPr>
    </w:p>
    <w:p w14:paraId="57882CDC">
      <w:pPr>
        <w:spacing w:line="240" w:lineRule="auto"/>
        <w:ind w:left="987" w:hanging="1630" w:hangingChars="400"/>
        <w:jc w:val="center"/>
        <w:rPr>
          <w:rFonts w:hint="eastAsia" w:ascii="仿宋" w:hAnsi="仿宋" w:eastAsia="仿宋" w:cs="仿宋"/>
          <w:b/>
          <w:spacing w:val="23"/>
          <w:sz w:val="36"/>
          <w:szCs w:val="36"/>
          <w:highlight w:val="none"/>
        </w:rPr>
      </w:pPr>
    </w:p>
    <w:p w14:paraId="025484AB">
      <w:pPr>
        <w:spacing w:line="240" w:lineRule="auto"/>
        <w:ind w:left="1308" w:hanging="1630" w:hangingChars="400"/>
        <w:jc w:val="center"/>
        <w:rPr>
          <w:rFonts w:hint="eastAsia" w:ascii="仿宋" w:hAnsi="仿宋" w:eastAsia="仿宋" w:cs="仿宋"/>
          <w:b/>
          <w:spacing w:val="23"/>
          <w:sz w:val="36"/>
          <w:szCs w:val="36"/>
          <w:highlight w:val="none"/>
        </w:rPr>
      </w:pPr>
      <w:r>
        <w:rPr>
          <w:rFonts w:hint="eastAsia" w:ascii="仿宋" w:hAnsi="仿宋" w:eastAsia="仿宋" w:cs="仿宋"/>
          <w:b/>
          <w:spacing w:val="23"/>
          <w:sz w:val="36"/>
          <w:szCs w:val="36"/>
          <w:highlight w:val="none"/>
        </w:rPr>
        <w:t>甲方(</w:t>
      </w:r>
      <w:r>
        <w:rPr>
          <w:rFonts w:hint="eastAsia" w:ascii="仿宋" w:hAnsi="仿宋" w:eastAsia="仿宋" w:cs="仿宋"/>
          <w:sz w:val="36"/>
          <w:szCs w:val="36"/>
          <w:highlight w:val="none"/>
        </w:rPr>
        <w:fldChar w:fldCharType="begin"/>
      </w:r>
      <w:r>
        <w:rPr>
          <w:rFonts w:hint="eastAsia" w:ascii="仿宋" w:hAnsi="仿宋" w:eastAsia="仿宋" w:cs="仿宋"/>
          <w:sz w:val="36"/>
          <w:szCs w:val="36"/>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36"/>
          <w:szCs w:val="36"/>
          <w:highlight w:val="none"/>
        </w:rPr>
        <w:fldChar w:fldCharType="separate"/>
      </w:r>
      <w:r>
        <w:rPr>
          <w:rFonts w:hint="eastAsia" w:ascii="仿宋" w:hAnsi="仿宋" w:eastAsia="仿宋" w:cs="仿宋"/>
          <w:b/>
          <w:spacing w:val="23"/>
          <w:sz w:val="36"/>
          <w:szCs w:val="36"/>
          <w:highlight w:val="none"/>
        </w:rPr>
        <w:t>采购人</w:t>
      </w:r>
      <w:r>
        <w:rPr>
          <w:rFonts w:hint="eastAsia" w:ascii="仿宋" w:hAnsi="仿宋" w:eastAsia="仿宋" w:cs="仿宋"/>
          <w:b/>
          <w:spacing w:val="23"/>
          <w:sz w:val="36"/>
          <w:szCs w:val="36"/>
          <w:highlight w:val="none"/>
        </w:rPr>
        <w:fldChar w:fldCharType="end"/>
      </w:r>
      <w:r>
        <w:rPr>
          <w:rFonts w:hint="eastAsia" w:ascii="仿宋" w:hAnsi="仿宋" w:eastAsia="仿宋" w:cs="仿宋"/>
          <w:b/>
          <w:spacing w:val="23"/>
          <w:sz w:val="36"/>
          <w:szCs w:val="36"/>
          <w:highlight w:val="none"/>
        </w:rPr>
        <w:t>)：</w:t>
      </w:r>
      <w:r>
        <w:rPr>
          <w:rFonts w:hint="eastAsia" w:ascii="仿宋" w:hAnsi="仿宋" w:eastAsia="仿宋" w:cs="仿宋"/>
          <w:spacing w:val="23"/>
          <w:sz w:val="36"/>
          <w:szCs w:val="36"/>
          <w:highlight w:val="none"/>
          <w:u w:val="single"/>
        </w:rPr>
        <w:t></w:t>
      </w:r>
    </w:p>
    <w:p w14:paraId="24B8EA6F">
      <w:pPr>
        <w:spacing w:line="240" w:lineRule="auto"/>
        <w:ind w:left="840" w:hanging="1440" w:hangingChars="400"/>
        <w:jc w:val="center"/>
        <w:rPr>
          <w:rFonts w:hint="eastAsia" w:ascii="仿宋" w:hAnsi="仿宋" w:eastAsia="仿宋" w:cs="仿宋"/>
          <w:spacing w:val="23"/>
          <w:sz w:val="36"/>
          <w:szCs w:val="36"/>
          <w:highlight w:val="none"/>
          <w:u w:val="single"/>
        </w:rPr>
      </w:pPr>
      <w:r>
        <w:rPr>
          <w:rFonts w:hint="eastAsia" w:ascii="仿宋" w:hAnsi="仿宋" w:eastAsia="仿宋" w:cs="仿宋"/>
          <w:sz w:val="36"/>
          <w:szCs w:val="36"/>
          <w:highlight w:val="none"/>
        </w:rPr>
        <w:fldChar w:fldCharType="begin"/>
      </w:r>
      <w:r>
        <w:rPr>
          <w:rFonts w:hint="eastAsia" w:ascii="仿宋" w:hAnsi="仿宋" w:eastAsia="仿宋" w:cs="仿宋"/>
          <w:sz w:val="36"/>
          <w:szCs w:val="36"/>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36"/>
          <w:szCs w:val="36"/>
          <w:highlight w:val="none"/>
        </w:rPr>
        <w:fldChar w:fldCharType="separate"/>
      </w:r>
      <w:r>
        <w:rPr>
          <w:rFonts w:hint="eastAsia" w:ascii="仿宋" w:hAnsi="仿宋" w:eastAsia="仿宋" w:cs="仿宋"/>
          <w:b/>
          <w:spacing w:val="23"/>
          <w:sz w:val="36"/>
          <w:szCs w:val="36"/>
          <w:highlight w:val="none"/>
        </w:rPr>
        <w:t>乙方</w:t>
      </w:r>
      <w:r>
        <w:rPr>
          <w:rFonts w:hint="eastAsia" w:ascii="仿宋" w:hAnsi="仿宋" w:eastAsia="仿宋" w:cs="仿宋"/>
          <w:b/>
          <w:spacing w:val="23"/>
          <w:sz w:val="36"/>
          <w:szCs w:val="36"/>
          <w:highlight w:val="none"/>
        </w:rPr>
        <w:fldChar w:fldCharType="end"/>
      </w:r>
      <w:r>
        <w:rPr>
          <w:rFonts w:hint="eastAsia" w:ascii="仿宋" w:hAnsi="仿宋" w:eastAsia="仿宋" w:cs="仿宋"/>
          <w:b/>
          <w:spacing w:val="23"/>
          <w:sz w:val="36"/>
          <w:szCs w:val="36"/>
          <w:highlight w:val="none"/>
        </w:rPr>
        <w:t>(供应商)：</w:t>
      </w:r>
      <w:r>
        <w:rPr>
          <w:rFonts w:hint="eastAsia" w:ascii="仿宋" w:hAnsi="仿宋" w:eastAsia="仿宋" w:cs="仿宋"/>
          <w:spacing w:val="23"/>
          <w:sz w:val="36"/>
          <w:szCs w:val="36"/>
          <w:highlight w:val="none"/>
          <w:u w:val="single"/>
        </w:rPr>
        <w:t></w:t>
      </w:r>
    </w:p>
    <w:p w14:paraId="4739ED65">
      <w:pPr>
        <w:tabs>
          <w:tab w:val="left" w:pos="1995"/>
        </w:tabs>
        <w:spacing w:line="240" w:lineRule="auto"/>
        <w:ind w:left="1308" w:hanging="1630" w:hangingChars="400"/>
        <w:jc w:val="center"/>
        <w:rPr>
          <w:rFonts w:hint="eastAsia" w:ascii="仿宋" w:hAnsi="仿宋" w:eastAsia="仿宋" w:cs="仿宋"/>
          <w:bCs/>
          <w:sz w:val="36"/>
          <w:szCs w:val="36"/>
          <w:highlight w:val="none"/>
        </w:rPr>
      </w:pPr>
      <w:r>
        <w:rPr>
          <w:rFonts w:hint="eastAsia" w:ascii="仿宋" w:hAnsi="仿宋" w:eastAsia="仿宋" w:cs="仿宋"/>
          <w:b/>
          <w:spacing w:val="23"/>
          <w:sz w:val="36"/>
          <w:szCs w:val="36"/>
          <w:highlight w:val="none"/>
        </w:rPr>
        <w:t>签订时间：</w:t>
      </w:r>
      <w:r>
        <w:rPr>
          <w:rFonts w:hint="eastAsia" w:ascii="仿宋" w:hAnsi="仿宋" w:eastAsia="仿宋" w:cs="仿宋"/>
          <w:spacing w:val="23"/>
          <w:sz w:val="36"/>
          <w:szCs w:val="36"/>
          <w:highlight w:val="none"/>
          <w:u w:val="single"/>
        </w:rPr>
        <w:t></w:t>
      </w:r>
      <w:r>
        <w:rPr>
          <w:rFonts w:hint="eastAsia" w:ascii="仿宋" w:hAnsi="仿宋" w:eastAsia="仿宋" w:cs="仿宋"/>
          <w:b/>
          <w:spacing w:val="23"/>
          <w:sz w:val="36"/>
          <w:szCs w:val="36"/>
          <w:highlight w:val="none"/>
        </w:rPr>
        <w:t>年</w:t>
      </w:r>
      <w:r>
        <w:rPr>
          <w:rFonts w:hint="eastAsia" w:ascii="仿宋" w:hAnsi="仿宋" w:eastAsia="仿宋" w:cs="仿宋"/>
          <w:spacing w:val="23"/>
          <w:sz w:val="36"/>
          <w:szCs w:val="36"/>
          <w:highlight w:val="none"/>
          <w:u w:val="single"/>
        </w:rPr>
        <w:t></w:t>
      </w:r>
      <w:r>
        <w:rPr>
          <w:rFonts w:hint="eastAsia" w:ascii="仿宋" w:hAnsi="仿宋" w:eastAsia="仿宋" w:cs="仿宋"/>
          <w:b/>
          <w:spacing w:val="23"/>
          <w:sz w:val="36"/>
          <w:szCs w:val="36"/>
          <w:highlight w:val="none"/>
        </w:rPr>
        <w:t>月</w:t>
      </w:r>
      <w:r>
        <w:rPr>
          <w:rFonts w:hint="eastAsia" w:ascii="仿宋" w:hAnsi="仿宋" w:eastAsia="仿宋" w:cs="仿宋"/>
          <w:spacing w:val="23"/>
          <w:sz w:val="36"/>
          <w:szCs w:val="36"/>
          <w:highlight w:val="none"/>
          <w:u w:val="single"/>
        </w:rPr>
        <w:t></w:t>
      </w:r>
      <w:r>
        <w:rPr>
          <w:rFonts w:hint="eastAsia" w:ascii="仿宋" w:hAnsi="仿宋" w:eastAsia="仿宋" w:cs="仿宋"/>
          <w:b/>
          <w:spacing w:val="23"/>
          <w:sz w:val="36"/>
          <w:szCs w:val="36"/>
          <w:highlight w:val="none"/>
        </w:rPr>
        <w:t>日</w:t>
      </w:r>
    </w:p>
    <w:p w14:paraId="1656F857">
      <w:pPr>
        <w:spacing w:line="240" w:lineRule="auto"/>
        <w:rPr>
          <w:rFonts w:hint="eastAsia" w:ascii="仿宋" w:hAnsi="仿宋" w:eastAsia="仿宋" w:cs="仿宋"/>
          <w:bCs/>
          <w:sz w:val="20"/>
          <w:szCs w:val="20"/>
          <w:highlight w:val="none"/>
        </w:rPr>
      </w:pPr>
    </w:p>
    <w:p w14:paraId="6501E903">
      <w:pPr>
        <w:spacing w:line="240" w:lineRule="auto"/>
        <w:rPr>
          <w:rFonts w:hint="eastAsia" w:ascii="仿宋" w:hAnsi="仿宋" w:eastAsia="仿宋" w:cs="仿宋"/>
          <w:bCs/>
          <w:sz w:val="20"/>
          <w:szCs w:val="20"/>
          <w:highlight w:val="none"/>
        </w:rPr>
      </w:pPr>
    </w:p>
    <w:p w14:paraId="68AA8427">
      <w:pPr>
        <w:widowControl/>
        <w:spacing w:line="240" w:lineRule="auto"/>
        <w:rPr>
          <w:rFonts w:hint="eastAsia" w:ascii="仿宋" w:hAnsi="仿宋" w:eastAsia="仿宋" w:cs="仿宋"/>
          <w:sz w:val="20"/>
          <w:szCs w:val="20"/>
          <w:highlight w:val="none"/>
        </w:rPr>
      </w:pPr>
      <w:bookmarkStart w:id="0" w:name="OLE_LINK48"/>
      <w:r>
        <w:rPr>
          <w:rFonts w:hint="eastAsia" w:ascii="仿宋" w:hAnsi="仿宋" w:eastAsia="仿宋" w:cs="仿宋"/>
          <w:sz w:val="20"/>
          <w:szCs w:val="20"/>
          <w:highlight w:val="none"/>
        </w:rPr>
        <w:br w:type="page"/>
      </w:r>
      <w:bookmarkEnd w:id="0"/>
    </w:p>
    <w:p w14:paraId="62FA161A">
      <w:pPr>
        <w:widowControl/>
        <w:spacing w:after="240" w:afterLines="100" w:line="240" w:lineRule="auto"/>
        <w:jc w:val="center"/>
        <w:outlineLvl w:val="0"/>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rPr>
        <w:t>合同</w:t>
      </w:r>
      <w:r>
        <w:rPr>
          <w:rFonts w:hint="eastAsia" w:ascii="仿宋" w:hAnsi="仿宋" w:eastAsia="仿宋" w:cs="仿宋"/>
          <w:b/>
          <w:bCs/>
          <w:sz w:val="20"/>
          <w:szCs w:val="20"/>
          <w:highlight w:val="none"/>
          <w:lang w:val="en-US" w:eastAsia="zh-CN"/>
        </w:rPr>
        <w:t>书</w:t>
      </w:r>
    </w:p>
    <w:p w14:paraId="17F5272A">
      <w:pPr>
        <w:pStyle w:val="8"/>
        <w:spacing w:line="240" w:lineRule="auto"/>
        <w:ind w:firstLine="48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采购人（甲方）：</w:t>
      </w:r>
      <w:r>
        <w:rPr>
          <w:rFonts w:hint="eastAsia" w:ascii="仿宋" w:hAnsi="仿宋" w:eastAsia="仿宋" w:cs="仿宋"/>
          <w:sz w:val="20"/>
          <w:szCs w:val="20"/>
          <w:highlight w:val="none"/>
          <w:u w:val="single"/>
          <w:lang w:val="en-US" w:eastAsia="zh-CN"/>
        </w:rPr>
        <w:t xml:space="preserve">            </w:t>
      </w:r>
    </w:p>
    <w:p w14:paraId="5213191E">
      <w:pPr>
        <w:pStyle w:val="8"/>
        <w:spacing w:line="240" w:lineRule="auto"/>
        <w:ind w:firstLine="48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供应商（乙方）：</w:t>
      </w:r>
      <w:r>
        <w:rPr>
          <w:rFonts w:hint="eastAsia" w:ascii="仿宋" w:hAnsi="仿宋" w:eastAsia="仿宋" w:cs="仿宋"/>
          <w:sz w:val="20"/>
          <w:szCs w:val="20"/>
          <w:highlight w:val="none"/>
          <w:u w:val="single"/>
          <w:lang w:val="en-US" w:eastAsia="zh-CN"/>
        </w:rPr>
        <w:t xml:space="preserve">            </w:t>
      </w:r>
    </w:p>
    <w:p w14:paraId="5DDCE733">
      <w:pPr>
        <w:pStyle w:val="8"/>
        <w:spacing w:before="120" w:beforeLines="50" w:line="240" w:lineRule="auto"/>
        <w:ind w:firstLine="480"/>
        <w:jc w:val="left"/>
        <w:rPr>
          <w:rFonts w:hint="eastAsia" w:ascii="仿宋" w:hAnsi="仿宋" w:eastAsia="仿宋" w:cs="仿宋"/>
          <w:sz w:val="20"/>
          <w:szCs w:val="20"/>
          <w:highlight w:val="none"/>
        </w:rPr>
      </w:pPr>
      <w:r>
        <w:rPr>
          <w:rFonts w:hint="eastAsia" w:ascii="仿宋" w:hAnsi="仿宋" w:eastAsia="仿宋" w:cs="仿宋"/>
          <w:bCs/>
          <w:color w:val="auto"/>
          <w:sz w:val="20"/>
          <w:szCs w:val="20"/>
          <w:highlight w:val="none"/>
          <w:u w:val="none"/>
          <w:lang w:val="zh-CN"/>
        </w:rPr>
        <w:t>依照《中华人民共和国政府采购法》及实施条例、《中华人民共和国民法典》等法律、行政法规，遵循平等、自愿、公平和诚实信用的原则，双方就本项目</w:t>
      </w:r>
      <w:r>
        <w:rPr>
          <w:rFonts w:hint="eastAsia" w:ascii="仿宋" w:hAnsi="仿宋" w:eastAsia="仿宋" w:cs="仿宋"/>
          <w:bCs/>
          <w:color w:val="auto"/>
          <w:sz w:val="20"/>
          <w:szCs w:val="20"/>
          <w:highlight w:val="none"/>
          <w:u w:val="none"/>
          <w:lang w:val="en-US" w:eastAsia="zh-CN"/>
        </w:rPr>
        <w:t>服务范围</w:t>
      </w:r>
      <w:r>
        <w:rPr>
          <w:rFonts w:hint="eastAsia" w:ascii="仿宋" w:hAnsi="仿宋" w:eastAsia="仿宋" w:cs="仿宋"/>
          <w:bCs/>
          <w:color w:val="auto"/>
          <w:sz w:val="20"/>
          <w:szCs w:val="20"/>
          <w:highlight w:val="none"/>
          <w:u w:val="none"/>
          <w:lang w:val="zh-CN"/>
        </w:rPr>
        <w:t>与相关</w:t>
      </w:r>
      <w:r>
        <w:rPr>
          <w:rFonts w:hint="eastAsia" w:ascii="仿宋" w:hAnsi="仿宋" w:eastAsia="仿宋" w:cs="仿宋"/>
          <w:bCs/>
          <w:color w:val="auto"/>
          <w:sz w:val="20"/>
          <w:szCs w:val="20"/>
          <w:highlight w:val="none"/>
          <w:u w:val="none"/>
          <w:lang w:val="en-US" w:eastAsia="zh-CN"/>
        </w:rPr>
        <w:t>安全生产技术服务</w:t>
      </w:r>
      <w:r>
        <w:rPr>
          <w:rFonts w:hint="eastAsia" w:ascii="仿宋" w:hAnsi="仿宋" w:eastAsia="仿宋" w:cs="仿宋"/>
          <w:bCs/>
          <w:color w:val="auto"/>
          <w:sz w:val="20"/>
          <w:szCs w:val="20"/>
          <w:highlight w:val="none"/>
          <w:u w:val="none"/>
          <w:lang w:val="zh-CN"/>
        </w:rPr>
        <w:t>事项协商一致，订立本合同。</w:t>
      </w:r>
    </w:p>
    <w:p w14:paraId="0B75FC78">
      <w:pPr>
        <w:pStyle w:val="8"/>
        <w:spacing w:before="120" w:beforeLines="50" w:line="240" w:lineRule="auto"/>
        <w:ind w:firstLine="0" w:firstLineChars="0"/>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lang w:val="en-US" w:eastAsia="zh-CN"/>
        </w:rPr>
        <w:t xml:space="preserve">第一条  </w:t>
      </w:r>
      <w:r>
        <w:rPr>
          <w:rFonts w:hint="eastAsia" w:ascii="仿宋" w:hAnsi="仿宋" w:eastAsia="仿宋" w:cs="仿宋"/>
          <w:b/>
          <w:sz w:val="20"/>
          <w:szCs w:val="20"/>
          <w:highlight w:val="none"/>
        </w:rPr>
        <w:t>项目概况</w:t>
      </w:r>
    </w:p>
    <w:p w14:paraId="1D5B008E">
      <w:pPr>
        <w:pStyle w:val="9"/>
        <w:rPr>
          <w:rFonts w:hint="eastAsia" w:ascii="仿宋_GB2312" w:hAnsi="仿宋_GB2312" w:eastAsia="仿宋_GB2312" w:cs="仿宋_GB2312"/>
          <w:highlight w:val="none"/>
          <w:lang w:val="en-US" w:eastAsia="zh-CN"/>
        </w:rPr>
      </w:pPr>
      <w:bookmarkStart w:id="1" w:name="_Toc251768862"/>
      <w:bookmarkStart w:id="2" w:name="_Toc282696226"/>
      <w:bookmarkStart w:id="3" w:name="_Toc225654644"/>
      <w:bookmarkStart w:id="4" w:name="_Toc211854449"/>
      <w:bookmarkStart w:id="5" w:name="_Toc225244852"/>
      <w:bookmarkStart w:id="6" w:name="_Toc283019214"/>
      <w:bookmarkStart w:id="7" w:name="_Toc239233914"/>
      <w:bookmarkStart w:id="8" w:name="_Toc238984975"/>
      <w:bookmarkStart w:id="9" w:name="_Toc239568418"/>
      <w:bookmarkStart w:id="10" w:name="_Toc247334841"/>
      <w:bookmarkStart w:id="11" w:name="_Toc212019594"/>
      <w:bookmarkStart w:id="12" w:name="_Toc232492928"/>
      <w:bookmarkStart w:id="13" w:name="_Toc211911348"/>
      <w:bookmarkStart w:id="14" w:name="_Toc237145406"/>
      <w:bookmarkStart w:id="15" w:name="_Toc241833903"/>
      <w:bookmarkStart w:id="16" w:name="_Toc286993786"/>
      <w:bookmarkStart w:id="17" w:name="_Toc225670751"/>
      <w:bookmarkStart w:id="18" w:name="_Toc185395249"/>
      <w:r>
        <w:rPr>
          <w:rFonts w:hint="eastAsia" w:ascii="仿宋_GB2312" w:hAnsi="仿宋_GB2312" w:eastAsia="仿宋_GB2312" w:cs="仿宋_GB2312"/>
          <w:highlight w:val="none"/>
          <w:lang w:val="en-US" w:eastAsia="zh-CN"/>
        </w:rPr>
        <w:t xml:space="preserve">    为</w:t>
      </w:r>
      <w:r>
        <w:rPr>
          <w:rFonts w:hint="eastAsia" w:ascii="仿宋_GB2312" w:hAnsi="仿宋_GB2312" w:eastAsia="仿宋_GB2312" w:cs="仿宋_GB2312"/>
          <w:highlight w:val="none"/>
        </w:rPr>
        <w:t>严格落实国家安全生产工作相关</w:t>
      </w:r>
      <w:r>
        <w:rPr>
          <w:rFonts w:hint="eastAsia" w:ascii="仿宋_GB2312" w:hAnsi="仿宋_GB2312" w:eastAsia="仿宋_GB2312" w:cs="仿宋_GB2312"/>
          <w:highlight w:val="none"/>
          <w:lang w:eastAsia="zh-CN"/>
        </w:rPr>
        <w:t>规定，</w:t>
      </w:r>
      <w:r>
        <w:rPr>
          <w:rFonts w:hint="eastAsia" w:ascii="仿宋_GB2312" w:hAnsi="仿宋_GB2312" w:eastAsia="仿宋_GB2312" w:cs="仿宋_GB2312"/>
          <w:highlight w:val="none"/>
          <w:lang w:val="en-US" w:eastAsia="zh-CN"/>
        </w:rPr>
        <w:t>配合甲方及应急部门开展相关安全生产工作，</w:t>
      </w:r>
      <w:r>
        <w:rPr>
          <w:rFonts w:hint="eastAsia" w:ascii="仿宋_GB2312" w:hAnsi="仿宋_GB2312" w:eastAsia="仿宋_GB2312" w:cs="仿宋_GB2312"/>
          <w:highlight w:val="none"/>
        </w:rPr>
        <w:t>采购</w:t>
      </w:r>
      <w:r>
        <w:rPr>
          <w:rFonts w:hint="eastAsia" w:ascii="仿宋_GB2312" w:hAnsi="仿宋_GB2312" w:eastAsia="仿宋_GB2312" w:cs="仿宋_GB2312"/>
          <w:highlight w:val="none"/>
          <w:lang w:eastAsia="zh-CN"/>
        </w:rPr>
        <w:t>全区商贸领域安全生产技术服务。目前，</w:t>
      </w:r>
      <w:r>
        <w:rPr>
          <w:rFonts w:hint="eastAsia" w:ascii="仿宋_GB2312" w:hAnsi="仿宋_GB2312" w:eastAsia="仿宋_GB2312" w:cs="仿宋_GB2312"/>
          <w:highlight w:val="none"/>
          <w:lang w:val="en-US" w:eastAsia="zh-CN"/>
        </w:rPr>
        <w:t>全区共有60家餐饮企业，67家非星级酒店，33家加油站，106家再生资源回收网点，7个商业综合体，10家连锁超市，60家汽车4S店，1家二手车交易市场。通过安全技术服务，确保行业安全形势平稳。</w:t>
      </w:r>
    </w:p>
    <w:p w14:paraId="24BF4D2C">
      <w:pPr>
        <w:pStyle w:val="8"/>
        <w:spacing w:before="120" w:beforeLines="50" w:line="240" w:lineRule="auto"/>
        <w:ind w:firstLine="0" w:firstLineChars="0"/>
        <w:jc w:val="left"/>
        <w:rPr>
          <w:rFonts w:hint="default" w:ascii="仿宋" w:hAnsi="仿宋" w:eastAsia="仿宋" w:cs="仿宋"/>
          <w:b/>
          <w:sz w:val="20"/>
          <w:szCs w:val="20"/>
          <w:highlight w:val="none"/>
          <w:lang w:val="en-US" w:eastAsia="zh-CN"/>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二</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服务内容</w:t>
      </w:r>
      <w:r>
        <w:rPr>
          <w:rFonts w:hint="eastAsia" w:ascii="仿宋" w:hAnsi="仿宋" w:eastAsia="仿宋" w:cs="仿宋"/>
          <w:b/>
          <w:sz w:val="20"/>
          <w:szCs w:val="20"/>
          <w:highlight w:val="none"/>
          <w:lang w:eastAsia="zh-CN"/>
        </w:rPr>
        <w:t>、</w:t>
      </w:r>
      <w:r>
        <w:rPr>
          <w:rFonts w:hint="eastAsia" w:ascii="仿宋" w:hAnsi="仿宋" w:eastAsia="仿宋" w:cs="仿宋"/>
          <w:b/>
          <w:sz w:val="20"/>
          <w:szCs w:val="20"/>
          <w:highlight w:val="none"/>
          <w:lang w:val="en-US" w:eastAsia="zh-CN"/>
        </w:rPr>
        <w:t>服务要求及服务期限</w:t>
      </w:r>
    </w:p>
    <w:p w14:paraId="753A6FE8">
      <w:pPr>
        <w:pStyle w:val="9"/>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隐患排查</w:t>
      </w:r>
      <w:r>
        <w:rPr>
          <w:rFonts w:ascii="仿宋_GB2312" w:hAnsi="仿宋_GB2312" w:eastAsia="仿宋_GB2312" w:cs="仿宋_GB2312"/>
          <w:highlight w:val="none"/>
        </w:rPr>
        <w:t>内容</w:t>
      </w:r>
      <w:r>
        <w:rPr>
          <w:rFonts w:hint="eastAsia" w:ascii="仿宋_GB2312" w:hAnsi="仿宋_GB2312" w:eastAsia="仿宋_GB2312" w:cs="仿宋_GB2312"/>
          <w:highlight w:val="none"/>
          <w:lang w:val="en-US" w:eastAsia="zh-CN"/>
        </w:rPr>
        <w:t>包含全区商贸企业（餐饮业、住宿业、再生资源行业、汽车行业、成品油流通行业、超市、商业综合体），负责</w:t>
      </w:r>
      <w:r>
        <w:rPr>
          <w:rFonts w:hint="eastAsia" w:ascii="仿宋_GB2312" w:hAnsi="仿宋_GB2312" w:eastAsia="仿宋_GB2312" w:cs="仿宋_GB2312"/>
          <w:color w:val="000000"/>
          <w:sz w:val="20"/>
          <w:szCs w:val="20"/>
          <w:highlight w:val="none"/>
        </w:rPr>
        <w:t>日常巡查</w:t>
      </w:r>
      <w:r>
        <w:rPr>
          <w:rFonts w:hint="eastAsia" w:ascii="仿宋_GB2312" w:hAnsi="仿宋_GB2312" w:eastAsia="仿宋_GB2312" w:cs="仿宋_GB2312"/>
          <w:color w:val="000000"/>
          <w:sz w:val="20"/>
          <w:szCs w:val="20"/>
          <w:highlight w:val="none"/>
          <w:lang w:eastAsia="zh-CN"/>
        </w:rPr>
        <w:t>、专项</w:t>
      </w:r>
      <w:r>
        <w:rPr>
          <w:rFonts w:hint="eastAsia" w:ascii="仿宋_GB2312" w:hAnsi="仿宋_GB2312" w:eastAsia="仿宋_GB2312" w:cs="仿宋_GB2312"/>
          <w:highlight w:val="none"/>
          <w:lang w:val="en-US" w:eastAsia="zh-CN"/>
        </w:rPr>
        <w:t>隐患排查、隐患整改复查、安全教育培训、开展应急演练、规整监管资料、突发事件处置等工作，具体内容如下：</w:t>
      </w:r>
    </w:p>
    <w:p w14:paraId="5A4541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一、区域安全现状调研</w:t>
      </w:r>
    </w:p>
    <w:p w14:paraId="086A775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40" w:leftChars="-76" w:right="0" w:rightChars="0" w:hanging="200" w:hangingChars="100"/>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 xml:space="preserve">      对接区内商贸领域安全生产</w:t>
      </w:r>
      <w:r>
        <w:rPr>
          <w:rFonts w:hint="eastAsia" w:ascii="仿宋_GB2312" w:hAnsi="仿宋_GB2312" w:eastAsia="仿宋_GB2312" w:cs="仿宋_GB2312"/>
          <w:color w:val="000000"/>
          <w:sz w:val="20"/>
          <w:szCs w:val="20"/>
          <w:highlight w:val="none"/>
          <w:lang w:eastAsia="zh-CN"/>
        </w:rPr>
        <w:t>工作</w:t>
      </w:r>
      <w:r>
        <w:rPr>
          <w:rFonts w:hint="eastAsia" w:ascii="仿宋_GB2312" w:hAnsi="仿宋_GB2312" w:eastAsia="仿宋_GB2312" w:cs="仿宋_GB2312"/>
          <w:color w:val="000000"/>
          <w:sz w:val="20"/>
          <w:szCs w:val="20"/>
          <w:highlight w:val="none"/>
        </w:rPr>
        <w:t>人员，</w:t>
      </w:r>
      <w:r>
        <w:rPr>
          <w:rFonts w:hint="eastAsia" w:ascii="仿宋_GB2312" w:hAnsi="仿宋_GB2312" w:eastAsia="仿宋_GB2312" w:cs="仿宋_GB2312"/>
          <w:color w:val="000000"/>
          <w:sz w:val="20"/>
          <w:szCs w:val="20"/>
          <w:highlight w:val="none"/>
          <w:lang w:eastAsia="zh-CN"/>
        </w:rPr>
        <w:t>配合</w:t>
      </w:r>
      <w:r>
        <w:rPr>
          <w:rFonts w:hint="eastAsia" w:ascii="仿宋_GB2312" w:hAnsi="仿宋_GB2312" w:eastAsia="仿宋_GB2312" w:cs="仿宋_GB2312"/>
          <w:color w:val="000000"/>
          <w:sz w:val="20"/>
          <w:szCs w:val="20"/>
          <w:highlight w:val="none"/>
        </w:rPr>
        <w:t>全域摸排辖区商贸行业安全管理现状、风险点位及管理漏洞</w:t>
      </w:r>
      <w:r>
        <w:rPr>
          <w:rFonts w:hint="eastAsia" w:ascii="仿宋_GB2312" w:hAnsi="仿宋_GB2312" w:eastAsia="仿宋_GB2312" w:cs="仿宋_GB2312"/>
          <w:color w:val="000000"/>
          <w:sz w:val="20"/>
          <w:szCs w:val="20"/>
          <w:highlight w:val="none"/>
          <w:lang w:eastAsia="zh-CN"/>
        </w:rPr>
        <w:t>。</w:t>
      </w:r>
    </w:p>
    <w:p w14:paraId="433B03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二、协助开展安全生产监督检查与隐患治理</w:t>
      </w:r>
    </w:p>
    <w:p w14:paraId="31795CA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40" w:leftChars="19" w:right="0" w:rightChars="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r>
        <w:rPr>
          <w:rFonts w:hint="eastAsia" w:ascii="仿宋_GB2312" w:hAnsi="仿宋_GB2312" w:eastAsia="仿宋_GB2312" w:cs="仿宋_GB2312"/>
          <w:color w:val="000000"/>
          <w:sz w:val="20"/>
          <w:szCs w:val="20"/>
          <w:highlight w:val="none"/>
        </w:rPr>
        <w:t>协助开展日常巡查、专项排查、联合执法检查，覆盖酒店、商业综合体、超市、加油站、汽车销售等经营主体。现场排查消防、电气、特种设备、危化存储、疏散通道等安全隐患，出具隐患检查文书、问题诊断报告及整改指导意见。</w:t>
      </w:r>
    </w:p>
    <w:p w14:paraId="400CA3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40" w:leftChars="19" w:right="0" w:rightChars="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r>
        <w:rPr>
          <w:rFonts w:hint="eastAsia" w:ascii="仿宋_GB2312" w:hAnsi="仿宋_GB2312" w:eastAsia="仿宋_GB2312" w:cs="仿宋_GB2312"/>
          <w:color w:val="000000"/>
          <w:sz w:val="20"/>
          <w:szCs w:val="20"/>
          <w:highlight w:val="none"/>
        </w:rPr>
        <w:t>建立隐患排查治理台账，跟踪督促企业整改，开展整改复查核验，实现隐患排查 — 交办 — 整改 — 复查 — 销号闭环管理。</w:t>
      </w:r>
    </w:p>
    <w:p w14:paraId="0C9879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配合节假日、汛期、重大会议等关键时段专项安全检查、值守核查工作。</w:t>
      </w:r>
    </w:p>
    <w:p w14:paraId="535D4A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三、安全生产教育培训服务</w:t>
      </w:r>
    </w:p>
    <w:p w14:paraId="78C266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r>
        <w:rPr>
          <w:rFonts w:hint="eastAsia" w:ascii="仿宋_GB2312" w:hAnsi="仿宋_GB2312" w:eastAsia="仿宋_GB2312" w:cs="仿宋_GB2312"/>
          <w:color w:val="000000"/>
          <w:sz w:val="20"/>
          <w:szCs w:val="20"/>
          <w:highlight w:val="none"/>
        </w:rPr>
        <w:t>聘请安全专业专家，按约定频次开展辖区企业管理人员、从业人员安全专题培训。</w:t>
      </w:r>
    </w:p>
    <w:p w14:paraId="590BC1F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40" w:leftChars="19" w:right="0" w:rightChars="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r>
        <w:rPr>
          <w:rFonts w:hint="eastAsia" w:ascii="仿宋_GB2312" w:hAnsi="仿宋_GB2312" w:eastAsia="仿宋_GB2312" w:cs="仿宋_GB2312"/>
          <w:color w:val="000000"/>
          <w:sz w:val="20"/>
          <w:szCs w:val="20"/>
          <w:highlight w:val="none"/>
        </w:rPr>
        <w:t>围绕安全责任、风险辨识、现场管控、法律法规、操作规程授课，提升人员安全素养与管理能力。</w:t>
      </w:r>
    </w:p>
    <w:p w14:paraId="36F61F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四、安全宣传、文化建设与应急演练指导</w:t>
      </w:r>
    </w:p>
    <w:p w14:paraId="53F792A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40" w:leftChars="19" w:right="0" w:rightChars="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r>
        <w:rPr>
          <w:rFonts w:hint="eastAsia" w:ascii="仿宋_GB2312" w:hAnsi="仿宋_GB2312" w:eastAsia="仿宋_GB2312" w:cs="仿宋_GB2312"/>
          <w:color w:val="000000"/>
          <w:sz w:val="20"/>
          <w:szCs w:val="20"/>
          <w:highlight w:val="none"/>
        </w:rPr>
        <w:t>宣传普及安全生产法律法规、行业标准及最新政策要求，协助开展各类安全普法宣教活动。</w:t>
      </w:r>
    </w:p>
    <w:p w14:paraId="07F40E8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r>
        <w:rPr>
          <w:rFonts w:hint="eastAsia" w:ascii="仿宋_GB2312" w:hAnsi="仿宋_GB2312" w:eastAsia="仿宋_GB2312" w:cs="仿宋_GB2312"/>
          <w:color w:val="000000"/>
          <w:sz w:val="20"/>
          <w:szCs w:val="20"/>
          <w:highlight w:val="none"/>
        </w:rPr>
        <w:t>指导辖区企业推进安全文化建设，规范安全警示、日常管控体系建设。</w:t>
      </w:r>
    </w:p>
    <w:p w14:paraId="33D4DB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40" w:leftChars="19" w:right="0" w:rightChars="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协助策划、组织、指导消防疏散、火灾扑救、突发事件处置等应急演练，优化应急处置流程。</w:t>
      </w:r>
    </w:p>
    <w:p w14:paraId="3DCB4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五、安全风险评估与技术咨询</w:t>
      </w:r>
    </w:p>
    <w:p w14:paraId="55B40A1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r>
        <w:rPr>
          <w:rFonts w:hint="eastAsia" w:ascii="仿宋_GB2312" w:hAnsi="仿宋_GB2312" w:eastAsia="仿宋_GB2312" w:cs="仿宋_GB2312"/>
          <w:color w:val="000000"/>
          <w:sz w:val="20"/>
          <w:szCs w:val="20"/>
          <w:highlight w:val="none"/>
        </w:rPr>
        <w:t>开展区域性、行业性安全风险辨识、分级评估，研判安全管控难点。</w:t>
      </w:r>
    </w:p>
    <w:p w14:paraId="601BE28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r>
        <w:rPr>
          <w:rFonts w:hint="eastAsia" w:ascii="仿宋_GB2312" w:hAnsi="仿宋_GB2312" w:eastAsia="仿宋_GB2312" w:cs="仿宋_GB2312"/>
          <w:color w:val="000000"/>
          <w:sz w:val="20"/>
          <w:szCs w:val="20"/>
          <w:highlight w:val="none"/>
        </w:rPr>
        <w:t>为</w:t>
      </w:r>
      <w:r>
        <w:rPr>
          <w:rFonts w:hint="eastAsia" w:ascii="仿宋_GB2312" w:hAnsi="仿宋_GB2312" w:eastAsia="仿宋_GB2312" w:cs="仿宋_GB2312"/>
          <w:color w:val="000000"/>
          <w:sz w:val="20"/>
          <w:szCs w:val="20"/>
          <w:highlight w:val="none"/>
          <w:lang w:eastAsia="zh-CN"/>
        </w:rPr>
        <w:t>部门</w:t>
      </w:r>
      <w:r>
        <w:rPr>
          <w:rFonts w:hint="eastAsia" w:ascii="仿宋_GB2312" w:hAnsi="仿宋_GB2312" w:eastAsia="仿宋_GB2312" w:cs="仿宋_GB2312"/>
          <w:color w:val="000000"/>
          <w:sz w:val="20"/>
          <w:szCs w:val="20"/>
          <w:highlight w:val="none"/>
        </w:rPr>
        <w:t>日常监管、风险防控、隐患治理提供专业技术咨询、合规答疑服务。</w:t>
      </w:r>
    </w:p>
    <w:p w14:paraId="183A31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六、安全资料台账规整与报告编撰</w:t>
      </w:r>
    </w:p>
    <w:p w14:paraId="62E990F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r>
        <w:rPr>
          <w:rFonts w:hint="eastAsia" w:ascii="仿宋_GB2312" w:hAnsi="仿宋_GB2312" w:eastAsia="仿宋_GB2312" w:cs="仿宋_GB2312"/>
          <w:color w:val="000000"/>
          <w:sz w:val="20"/>
          <w:szCs w:val="20"/>
          <w:highlight w:val="none"/>
        </w:rPr>
        <w:t>协助整理检查记录、培训档案、演练资料、隐患台账等监管归档材料。</w:t>
      </w:r>
    </w:p>
    <w:p w14:paraId="50088AE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r>
        <w:rPr>
          <w:rFonts w:hint="eastAsia" w:ascii="仿宋_GB2312" w:hAnsi="仿宋_GB2312" w:eastAsia="仿宋_GB2312" w:cs="仿宋_GB2312"/>
          <w:color w:val="000000"/>
          <w:sz w:val="20"/>
          <w:szCs w:val="20"/>
          <w:highlight w:val="none"/>
        </w:rPr>
        <w:t>协助撰写安全工作总结、专项分析、考核自评、管控评估等各类文书报告。</w:t>
      </w:r>
    </w:p>
    <w:p w14:paraId="7810A4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七、突发事件技术协助</w:t>
      </w:r>
    </w:p>
    <w:p w14:paraId="1FD48F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napToGrid w:val="0"/>
          <w:color w:val="000000"/>
          <w:kern w:val="0"/>
          <w:sz w:val="20"/>
          <w:szCs w:val="20"/>
          <w:highlight w:val="none"/>
          <w:lang w:val="en-US" w:eastAsia="zh-CN" w:bidi="ar"/>
        </w:rPr>
        <w:t>辖区发生安全险情、突发事件时，提供现场技术研判、处置参考建议，配合事后隐患复盘与防范措施梳理。</w:t>
      </w:r>
    </w:p>
    <w:p w14:paraId="5FB73D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八、其他约定安全技术服务</w:t>
      </w:r>
    </w:p>
    <w:p w14:paraId="54C1CA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00" w:firstLineChars="2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napToGrid w:val="0"/>
          <w:color w:val="000000"/>
          <w:kern w:val="0"/>
          <w:sz w:val="20"/>
          <w:szCs w:val="20"/>
          <w:highlight w:val="none"/>
          <w:lang w:val="en-US" w:eastAsia="zh-CN" w:bidi="ar"/>
        </w:rPr>
        <w:t>根据部门工作需求，承接临时性安全帮扶、专项整治、迎检筹备、安全标准化指导等相关技术服务。</w:t>
      </w:r>
    </w:p>
    <w:p w14:paraId="035814CB">
      <w:pPr>
        <w:pStyle w:val="9"/>
        <w:rPr>
          <w:rFonts w:ascii="仿宋_GB2312" w:hAnsi="仿宋_GB2312" w:eastAsia="仿宋_GB2312" w:cs="仿宋_GB2312"/>
          <w:b/>
          <w:bCs/>
          <w:highlight w:val="none"/>
        </w:rPr>
      </w:pPr>
      <w:r>
        <w:rPr>
          <w:rFonts w:hint="eastAsia" w:ascii="仿宋_GB2312" w:hAnsi="仿宋_GB2312" w:eastAsia="仿宋_GB2312" w:cs="仿宋_GB2312"/>
          <w:b/>
          <w:bCs/>
          <w:highlight w:val="none"/>
          <w:lang w:eastAsia="zh-CN"/>
        </w:rPr>
        <w:t>九、</w:t>
      </w:r>
      <w:r>
        <w:rPr>
          <w:rFonts w:ascii="仿宋_GB2312" w:hAnsi="仿宋_GB2312" w:eastAsia="仿宋_GB2312" w:cs="仿宋_GB2312"/>
          <w:b/>
          <w:bCs/>
          <w:highlight w:val="none"/>
        </w:rPr>
        <w:t>服务要求</w:t>
      </w:r>
    </w:p>
    <w:p w14:paraId="357FBE59">
      <w:pPr>
        <w:pStyle w:val="9"/>
        <w:keepNext w:val="0"/>
        <w:keepLines w:val="0"/>
        <w:pageBreakBefore w:val="0"/>
        <w:widowControl/>
        <w:wordWrap/>
        <w:overflowPunct/>
        <w:topLinePunct w:val="0"/>
        <w:bidi w:val="0"/>
        <w:adjustRightInd/>
        <w:snapToGrid/>
        <w:ind w:left="0" w:leftChars="0"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针对区内商贸行业安全生产形势，配合甲方工作安排进行安全生产检查服务，对全区商贸企业进行全覆盖安全生产隐患排查，</w:t>
      </w:r>
      <w:r>
        <w:rPr>
          <w:rFonts w:hint="default" w:ascii="仿宋_GB2312" w:hAnsi="仿宋_GB2312" w:eastAsia="仿宋_GB2312" w:cs="仿宋_GB2312"/>
          <w:highlight w:val="none"/>
          <w:lang w:val="en-US" w:eastAsia="zh-CN"/>
        </w:rPr>
        <w:t>重大安全隐患</w:t>
      </w:r>
      <w:r>
        <w:rPr>
          <w:rFonts w:hint="eastAsia" w:ascii="仿宋_GB2312" w:hAnsi="仿宋_GB2312" w:eastAsia="仿宋_GB2312" w:cs="仿宋_GB2312"/>
          <w:highlight w:val="none"/>
          <w:lang w:val="en-US" w:eastAsia="zh-CN"/>
        </w:rPr>
        <w:t>排查整改</w:t>
      </w:r>
      <w:r>
        <w:rPr>
          <w:rFonts w:hint="default" w:ascii="仿宋_GB2312" w:hAnsi="仿宋_GB2312" w:eastAsia="仿宋_GB2312" w:cs="仿宋_GB2312"/>
          <w:highlight w:val="none"/>
          <w:lang w:val="en-US" w:eastAsia="zh-CN"/>
        </w:rPr>
        <w:t>、燃气</w:t>
      </w:r>
      <w:r>
        <w:rPr>
          <w:rFonts w:hint="eastAsia" w:ascii="仿宋_GB2312" w:hAnsi="仿宋_GB2312" w:eastAsia="仿宋_GB2312" w:cs="仿宋_GB2312"/>
          <w:highlight w:val="none"/>
          <w:lang w:val="en-US" w:eastAsia="zh-CN"/>
        </w:rPr>
        <w:t>安全</w:t>
      </w:r>
      <w:r>
        <w:rPr>
          <w:rFonts w:hint="default" w:ascii="仿宋_GB2312" w:hAnsi="仿宋_GB2312" w:eastAsia="仿宋_GB2312" w:cs="仿宋_GB2312"/>
          <w:highlight w:val="none"/>
          <w:lang w:val="en-US" w:eastAsia="zh-CN"/>
        </w:rPr>
        <w:t>、有限空间作</w:t>
      </w:r>
      <w:r>
        <w:rPr>
          <w:rFonts w:hint="eastAsia" w:ascii="仿宋_GB2312" w:hAnsi="仿宋_GB2312" w:eastAsia="仿宋_GB2312" w:cs="仿宋_GB2312"/>
          <w:highlight w:val="none"/>
          <w:lang w:val="en-US" w:eastAsia="zh-CN"/>
        </w:rPr>
        <w:t>业、防汛抗汛及日常安全隐患排查</w:t>
      </w:r>
      <w:r>
        <w:rPr>
          <w:rFonts w:hint="default" w:ascii="仿宋_GB2312" w:hAnsi="仿宋_GB2312" w:eastAsia="仿宋_GB2312" w:cs="仿宋_GB2312"/>
          <w:highlight w:val="none"/>
          <w:lang w:val="en-US" w:eastAsia="zh-CN"/>
        </w:rPr>
        <w:t>等技术服务</w:t>
      </w:r>
      <w:r>
        <w:rPr>
          <w:rFonts w:hint="eastAsia" w:ascii="仿宋_GB2312" w:hAnsi="仿宋_GB2312" w:eastAsia="仿宋_GB2312" w:cs="仿宋_GB2312"/>
          <w:highlight w:val="none"/>
          <w:lang w:val="en-US" w:eastAsia="zh-CN"/>
        </w:rPr>
        <w:t>，形成检查清单、隐患台账、专项行动工作汇报、隐患复查及隐患闭环销号等工作，服务期满提交全年服务报告。</w:t>
      </w:r>
      <w:r>
        <w:rPr>
          <w:rFonts w:hint="eastAsia" w:ascii="仿宋_GB2312" w:hAnsi="仿宋_GB2312" w:eastAsia="仿宋_GB2312" w:cs="仿宋_GB2312"/>
          <w:highlight w:val="none"/>
        </w:rPr>
        <w:t>配备相关技术服务人员不得少于4人。</w:t>
      </w:r>
    </w:p>
    <w:p w14:paraId="17B87604">
      <w:pPr>
        <w:widowControl/>
        <w:numPr>
          <w:ilvl w:val="0"/>
          <w:numId w:val="0"/>
        </w:numPr>
        <w:spacing w:line="240" w:lineRule="auto"/>
        <w:rPr>
          <w:rFonts w:hint="eastAsia" w:ascii="仿宋" w:hAnsi="仿宋" w:eastAsia="仿宋" w:cs="仿宋"/>
          <w:b/>
          <w:bCs w:val="0"/>
          <w:kern w:val="2"/>
          <w:sz w:val="20"/>
          <w:szCs w:val="20"/>
          <w:highlight w:val="none"/>
          <w:lang w:val="en-US" w:eastAsia="zh-CN" w:bidi="ar-SA"/>
        </w:rPr>
      </w:pPr>
      <w:r>
        <w:rPr>
          <w:rFonts w:hint="eastAsia" w:ascii="仿宋" w:hAnsi="仿宋" w:eastAsia="仿宋" w:cs="仿宋"/>
          <w:b/>
          <w:bCs w:val="0"/>
          <w:kern w:val="2"/>
          <w:sz w:val="20"/>
          <w:szCs w:val="20"/>
          <w:highlight w:val="none"/>
          <w:lang w:val="en-US" w:eastAsia="zh-CN" w:bidi="ar-SA"/>
        </w:rPr>
        <w:t>十、服务期限</w:t>
      </w:r>
    </w:p>
    <w:p w14:paraId="1F9EE05F">
      <w:pPr>
        <w:widowControl/>
        <w:numPr>
          <w:ilvl w:val="0"/>
          <w:numId w:val="0"/>
        </w:numPr>
        <w:spacing w:line="240" w:lineRule="auto"/>
        <w:ind w:firstLine="400" w:firstLineChars="200"/>
        <w:rPr>
          <w:rFonts w:hint="eastAsia" w:ascii="仿宋" w:hAnsi="仿宋" w:eastAsia="仿宋" w:cs="仿宋"/>
          <w:b w:val="0"/>
          <w:bCs/>
          <w:kern w:val="2"/>
          <w:sz w:val="20"/>
          <w:szCs w:val="20"/>
          <w:highlight w:val="none"/>
          <w:lang w:val="en-US" w:eastAsia="zh-CN" w:bidi="ar-SA"/>
        </w:rPr>
      </w:pPr>
      <w:r>
        <w:rPr>
          <w:rFonts w:hint="eastAsia" w:ascii="仿宋" w:hAnsi="仿宋" w:eastAsia="仿宋" w:cs="仿宋"/>
          <w:b w:val="0"/>
          <w:bCs/>
          <w:kern w:val="2"/>
          <w:sz w:val="20"/>
          <w:szCs w:val="20"/>
          <w:highlight w:val="none"/>
          <w:lang w:val="en-US" w:eastAsia="zh-CN" w:bidi="ar-SA"/>
        </w:rPr>
        <w:t>自合同签订之日起一年。</w:t>
      </w:r>
    </w:p>
    <w:p w14:paraId="3668AE79">
      <w:pPr>
        <w:widowControl/>
        <w:numPr>
          <w:ilvl w:val="0"/>
          <w:numId w:val="0"/>
        </w:numPr>
        <w:spacing w:line="240" w:lineRule="auto"/>
        <w:rPr>
          <w:rFonts w:hint="eastAsia" w:ascii="仿宋" w:hAnsi="仿宋" w:eastAsia="仿宋" w:cs="仿宋"/>
          <w:b/>
          <w:bCs/>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三</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合同价款</w:t>
      </w:r>
    </w:p>
    <w:p w14:paraId="09727348">
      <w:pPr>
        <w:spacing w:line="240" w:lineRule="auto"/>
        <w:ind w:firstLine="400" w:firstLineChars="200"/>
        <w:jc w:val="left"/>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1.合同形式：固定总价合同；</w:t>
      </w:r>
    </w:p>
    <w:p w14:paraId="7647190D">
      <w:pPr>
        <w:spacing w:line="240" w:lineRule="auto"/>
        <w:ind w:firstLine="400" w:firstLineChars="200"/>
        <w:jc w:val="left"/>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2.合同总价：大写：人民币</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；小写：¥</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元</w:t>
      </w:r>
    </w:p>
    <w:p w14:paraId="3A81FBCF">
      <w:pPr>
        <w:spacing w:line="240" w:lineRule="auto"/>
        <w:ind w:firstLine="400" w:firstLineChars="200"/>
        <w:jc w:val="left"/>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3.合同总价包括人工费、成果费、管理费、税金等其他一切相关费用。本合同执行期间</w:t>
      </w:r>
      <w:r>
        <w:rPr>
          <w:rFonts w:hint="eastAsia" w:ascii="仿宋" w:hAnsi="仿宋" w:eastAsia="仿宋" w:cs="仿宋"/>
          <w:bCs/>
          <w:sz w:val="20"/>
          <w:szCs w:val="20"/>
          <w:highlight w:val="none"/>
          <w:lang w:val="en-US" w:eastAsia="zh-CN"/>
        </w:rPr>
        <w:t>合同总价</w:t>
      </w:r>
      <w:r>
        <w:rPr>
          <w:rFonts w:hint="eastAsia" w:ascii="仿宋" w:hAnsi="仿宋" w:eastAsia="仿宋" w:cs="仿宋"/>
          <w:bCs/>
          <w:sz w:val="20"/>
          <w:szCs w:val="20"/>
          <w:highlight w:val="none"/>
          <w:lang w:val="zh-CN"/>
        </w:rPr>
        <w:t>不变，甲方无须另向乙方支付本合同规定之外的其他任何费用。</w:t>
      </w:r>
    </w:p>
    <w:p w14:paraId="6104F2ED">
      <w:pPr>
        <w:spacing w:line="240" w:lineRule="auto"/>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四</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付款方式及要求</w:t>
      </w:r>
    </w:p>
    <w:p w14:paraId="6DF55D9F">
      <w:pPr>
        <w:widowControl/>
        <w:shd w:val="clear"/>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w:t>
      </w:r>
      <w:r>
        <w:rPr>
          <w:rFonts w:hint="eastAsia" w:ascii="仿宋" w:hAnsi="仿宋" w:eastAsia="仿宋" w:cs="仿宋"/>
          <w:color w:val="auto"/>
          <w:kern w:val="0"/>
          <w:sz w:val="20"/>
          <w:szCs w:val="20"/>
          <w:highlight w:val="none"/>
          <w:lang w:val="en-US" w:eastAsia="zh-CN"/>
        </w:rPr>
        <w:t>预付款支付条款</w:t>
      </w:r>
      <w:r>
        <w:rPr>
          <w:rFonts w:hint="eastAsia" w:ascii="仿宋" w:hAnsi="仿宋" w:eastAsia="仿宋" w:cs="仿宋"/>
          <w:color w:val="auto"/>
          <w:kern w:val="0"/>
          <w:sz w:val="20"/>
          <w:szCs w:val="20"/>
          <w:highlight w:val="none"/>
        </w:rPr>
        <w:t>：</w:t>
      </w:r>
    </w:p>
    <w:p w14:paraId="1EED9808">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(1)本合同设置预付款；</w:t>
      </w:r>
    </w:p>
    <w:p w14:paraId="7AF89F97">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(2)预付款金额：合同签订后预付合同总价款的40%；</w:t>
      </w:r>
    </w:p>
    <w:p w14:paraId="5CC67E13">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(3)预付款支付条件:合同签订后30日内；</w:t>
      </w:r>
    </w:p>
    <w:p w14:paraId="39CC33A2">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14:paraId="2BF6E624">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2.剩余款项支付条款：</w:t>
      </w:r>
    </w:p>
    <w:p w14:paraId="2888E8E6">
      <w:pPr>
        <w:widowControl/>
        <w:shd w:val="clear"/>
        <w:spacing w:line="240" w:lineRule="auto"/>
        <w:ind w:firstLine="42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待服务期限结束并经甲方验收合格后，支付剩余60%合同总价款。</w:t>
      </w:r>
    </w:p>
    <w:p w14:paraId="2E98B0D3">
      <w:pPr>
        <w:widowControl/>
        <w:shd w:val="clear"/>
        <w:spacing w:line="240" w:lineRule="auto"/>
        <w:ind w:firstLine="42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注:乙方应向甲方出具符合国家财税规定的增值税发票,否则甲方有权延迟履行付款义务。如因乙方缘故(如开具增值税发票延误等)导致甲方无法按时付款，甲方不承担</w:t>
      </w:r>
      <w:r>
        <w:rPr>
          <w:rFonts w:hint="eastAsia" w:ascii="仿宋" w:hAnsi="仿宋" w:eastAsia="仿宋" w:cs="仿宋"/>
          <w:color w:val="auto"/>
          <w:kern w:val="0"/>
          <w:sz w:val="20"/>
          <w:szCs w:val="20"/>
          <w:highlight w:val="none"/>
          <w:lang w:val="en-US" w:eastAsia="zh-CN"/>
        </w:rPr>
        <w:t>违</w:t>
      </w:r>
      <w:r>
        <w:rPr>
          <w:rFonts w:hint="eastAsia" w:ascii="仿宋" w:hAnsi="仿宋" w:eastAsia="仿宋" w:cs="仿宋"/>
          <w:color w:val="auto"/>
          <w:kern w:val="0"/>
          <w:sz w:val="20"/>
          <w:szCs w:val="20"/>
          <w:highlight w:val="none"/>
        </w:rPr>
        <w:t>约责任。如</w:t>
      </w:r>
      <w:r>
        <w:rPr>
          <w:rFonts w:hint="eastAsia" w:ascii="仿宋" w:hAnsi="仿宋" w:eastAsia="仿宋" w:cs="仿宋"/>
          <w:color w:val="auto"/>
          <w:kern w:val="0"/>
          <w:sz w:val="20"/>
          <w:szCs w:val="20"/>
          <w:highlight w:val="none"/>
          <w:lang w:val="en-US" w:eastAsia="zh-CN"/>
        </w:rPr>
        <w:t>遇</w:t>
      </w:r>
      <w:r>
        <w:rPr>
          <w:rFonts w:hint="eastAsia" w:ascii="仿宋" w:hAnsi="仿宋" w:eastAsia="仿宋" w:cs="仿宋"/>
          <w:color w:val="auto"/>
          <w:kern w:val="0"/>
          <w:sz w:val="20"/>
          <w:szCs w:val="20"/>
          <w:highlight w:val="none"/>
        </w:rPr>
        <w:t>突发事件，付款日期则以实际付款日期为准。</w:t>
      </w:r>
    </w:p>
    <w:p w14:paraId="1FFAD9DB">
      <w:pPr>
        <w:pStyle w:val="8"/>
        <w:spacing w:before="120" w:beforeLines="50" w:line="240" w:lineRule="auto"/>
        <w:ind w:firstLine="0" w:firstLineChars="0"/>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五</w:t>
      </w:r>
      <w:r>
        <w:rPr>
          <w:rFonts w:hint="eastAsia" w:ascii="仿宋" w:hAnsi="仿宋" w:eastAsia="仿宋" w:cs="仿宋"/>
          <w:b/>
          <w:sz w:val="20"/>
          <w:szCs w:val="20"/>
          <w:highlight w:val="none"/>
        </w:rPr>
        <w:t>条  知识产权</w:t>
      </w:r>
    </w:p>
    <w:p w14:paraId="34587C98">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乙方应保证所提供的服务或其任何一部分均不会侵犯任何第三方的专利权、商标权或著作权。</w:t>
      </w:r>
    </w:p>
    <w:p w14:paraId="4E2CA325">
      <w:pPr>
        <w:widowControl/>
        <w:spacing w:before="120" w:beforeLines="50" w:after="120" w:afterLines="50" w:line="240" w:lineRule="auto"/>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六</w:t>
      </w:r>
      <w:r>
        <w:rPr>
          <w:rFonts w:hint="eastAsia" w:ascii="仿宋" w:hAnsi="仿宋" w:eastAsia="仿宋" w:cs="仿宋"/>
          <w:b/>
          <w:sz w:val="20"/>
          <w:szCs w:val="20"/>
          <w:highlight w:val="none"/>
        </w:rPr>
        <w:t>条  甲方的权利和义务</w:t>
      </w:r>
    </w:p>
    <w:p w14:paraId="048D620F">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D0911A2">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2.甲方有权依据双方签订的考评办法对乙方提供的服务进行定期考评。</w:t>
      </w:r>
    </w:p>
    <w:p w14:paraId="26FDA5FA">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3.负责检查监督乙方管理工作的实施及制度的执行情况。</w:t>
      </w:r>
    </w:p>
    <w:p w14:paraId="29F33B78">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4.根据本合同规定，按时向乙方支付应付服务费用。</w:t>
      </w:r>
    </w:p>
    <w:p w14:paraId="6AA2F148">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5.国家法律、法规所规定由甲方承担的其它责任。</w:t>
      </w:r>
    </w:p>
    <w:p w14:paraId="29DB0D7D">
      <w:pPr>
        <w:widowControl/>
        <w:spacing w:before="120" w:beforeLines="50" w:after="120" w:afterLines="50" w:line="240" w:lineRule="auto"/>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七</w:t>
      </w:r>
      <w:r>
        <w:rPr>
          <w:rFonts w:hint="eastAsia" w:ascii="仿宋" w:hAnsi="仿宋" w:eastAsia="仿宋" w:cs="仿宋"/>
          <w:b/>
          <w:sz w:val="20"/>
          <w:szCs w:val="20"/>
          <w:highlight w:val="none"/>
        </w:rPr>
        <w:t>条  乙方的权利和义务</w:t>
      </w:r>
    </w:p>
    <w:p w14:paraId="6AE8A647">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1.对本合同规定的委托服务范围内的项目享有管理权及服务义务。</w:t>
      </w:r>
    </w:p>
    <w:p w14:paraId="01ED7031">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2.根据本合同的规定向甲方收取相关服务费用，并有权在本项目管理范围内管理及合理使用。</w:t>
      </w:r>
    </w:p>
    <w:p w14:paraId="509C14CF">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3.及时向甲方通告本项目服务范围内有关服务的重大事项，及时配合处理投诉。</w:t>
      </w:r>
    </w:p>
    <w:p w14:paraId="2540A928">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4.接受项目行业管理部门及政府有关部门的指导，接受甲方的监督。</w:t>
      </w:r>
    </w:p>
    <w:p w14:paraId="7F5DB09B">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5.国家法律、法规所规定由乙方承担的其它责任。</w:t>
      </w:r>
    </w:p>
    <w:p w14:paraId="0845463E">
      <w:pPr>
        <w:widowControl/>
        <w:spacing w:before="120" w:beforeLines="50" w:after="120" w:afterLines="50" w:line="240" w:lineRule="auto"/>
        <w:jc w:val="left"/>
        <w:rPr>
          <w:rFonts w:hint="eastAsia" w:ascii="仿宋" w:hAnsi="仿宋" w:eastAsia="仿宋" w:cs="仿宋"/>
          <w:b/>
          <w:sz w:val="20"/>
          <w:szCs w:val="20"/>
          <w:highlight w:val="none"/>
          <w:lang w:eastAsia="zh-CN"/>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八</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 xml:space="preserve"> 违约责任</w:t>
      </w:r>
      <w:r>
        <w:rPr>
          <w:rFonts w:hint="eastAsia" w:ascii="仿宋" w:hAnsi="仿宋" w:eastAsia="仿宋" w:cs="仿宋"/>
          <w:b/>
          <w:sz w:val="20"/>
          <w:szCs w:val="20"/>
          <w:highlight w:val="none"/>
          <w:lang w:eastAsia="zh-CN"/>
        </w:rPr>
        <w:t>与赔偿损失</w:t>
      </w:r>
    </w:p>
    <w:p w14:paraId="0FE9376A">
      <w:pPr>
        <w:widowControl/>
        <w:spacing w:before="120" w:beforeLines="50" w:after="120" w:afterLines="50" w:line="24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val="en-US" w:eastAsia="zh-CN"/>
        </w:rPr>
        <w:t>1.</w:t>
      </w:r>
      <w:r>
        <w:rPr>
          <w:rFonts w:hint="eastAsia" w:ascii="仿宋" w:hAnsi="仿宋" w:eastAsia="仿宋" w:cs="仿宋"/>
          <w:b w:val="0"/>
          <w:bCs/>
          <w:sz w:val="20"/>
          <w:szCs w:val="20"/>
          <w:highlight w:val="none"/>
        </w:rPr>
        <w:t>乙方交付的提供的服务不符合本合同规定的，甲方有权拒收，并且乙方须向甲方支付本合同总价2%的违约金。</w:t>
      </w:r>
    </w:p>
    <w:p w14:paraId="5126D07B">
      <w:pPr>
        <w:widowControl/>
        <w:spacing w:before="120" w:beforeLines="50" w:after="120" w:afterLines="50" w:line="24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val="en-US" w:eastAsia="zh-CN"/>
        </w:rPr>
        <w:t>2.</w:t>
      </w:r>
      <w:r>
        <w:rPr>
          <w:rFonts w:hint="eastAsia" w:ascii="仿宋" w:hAnsi="仿宋" w:eastAsia="仿宋" w:cs="仿宋"/>
          <w:b w:val="0"/>
          <w:bCs/>
          <w:sz w:val="20"/>
          <w:szCs w:val="20"/>
          <w:highlight w:val="none"/>
        </w:rPr>
        <w:t>乙方未能按本合同规定的时间提供服务的，从逾期之日起每日按本合同总价1%的数额向甲方支付违约金；逾期半个月以上的，甲方有权终止合同，由此造成的经济损失由乙方承担。</w:t>
      </w:r>
    </w:p>
    <w:p w14:paraId="7319C464">
      <w:pPr>
        <w:widowControl/>
        <w:spacing w:before="120" w:beforeLines="50" w:after="120" w:afterLines="50" w:line="24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val="en-US" w:eastAsia="zh-CN"/>
        </w:rPr>
        <w:t>3.</w:t>
      </w:r>
      <w:r>
        <w:rPr>
          <w:rFonts w:hint="eastAsia" w:ascii="仿宋" w:hAnsi="仿宋" w:eastAsia="仿宋" w:cs="仿宋"/>
          <w:b w:val="0"/>
          <w:bCs/>
          <w:sz w:val="20"/>
          <w:szCs w:val="20"/>
          <w:highlight w:val="none"/>
        </w:rPr>
        <w:t>其它违约责任按《中华人民共和国民法典》处理。</w:t>
      </w:r>
    </w:p>
    <w:p w14:paraId="3C789757">
      <w:pPr>
        <w:widowControl/>
        <w:spacing w:before="120" w:beforeLines="50" w:after="120" w:afterLines="50" w:line="240" w:lineRule="auto"/>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九</w:t>
      </w:r>
      <w:r>
        <w:rPr>
          <w:rFonts w:hint="eastAsia" w:ascii="仿宋" w:hAnsi="仿宋" w:eastAsia="仿宋" w:cs="仿宋"/>
          <w:b/>
          <w:sz w:val="20"/>
          <w:szCs w:val="20"/>
          <w:highlight w:val="none"/>
        </w:rPr>
        <w:t>条  不可抗力事件处理</w:t>
      </w:r>
    </w:p>
    <w:p w14:paraId="4E861C83">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1.在合同有效期内，任何一方因不可抗力事件导致不能履行合同，则合同履行期可延长，其延长期与不可抗力影响期相同。</w:t>
      </w:r>
    </w:p>
    <w:p w14:paraId="3A759076">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2.不可抗力事件发生后，应立即通知对方，并寄送有关权威机构出具的证明。</w:t>
      </w:r>
    </w:p>
    <w:p w14:paraId="14DD56FC">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3.不可抗力事件延续</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none"/>
        </w:rPr>
        <w:t>天</w:t>
      </w:r>
      <w:r>
        <w:rPr>
          <w:rFonts w:hint="eastAsia" w:ascii="仿宋" w:hAnsi="仿宋" w:eastAsia="仿宋" w:cs="仿宋"/>
          <w:bCs/>
          <w:sz w:val="20"/>
          <w:szCs w:val="20"/>
          <w:highlight w:val="none"/>
        </w:rPr>
        <w:t>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82B86EB">
      <w:pPr>
        <w:widowControl/>
        <w:spacing w:before="120" w:beforeLines="50" w:after="120" w:afterLines="50" w:line="240" w:lineRule="auto"/>
        <w:jc w:val="left"/>
        <w:rPr>
          <w:rFonts w:hint="eastAsia" w:ascii="仿宋" w:hAnsi="仿宋" w:eastAsia="仿宋" w:cs="仿宋"/>
          <w:b/>
          <w:sz w:val="20"/>
          <w:szCs w:val="20"/>
          <w:highlight w:val="none"/>
        </w:rPr>
      </w:pPr>
      <w:bookmarkStart w:id="19" w:name="_Toc225670756"/>
      <w:bookmarkStart w:id="20" w:name="_Toc286993792"/>
      <w:bookmarkStart w:id="21" w:name="_Toc251768867"/>
      <w:bookmarkStart w:id="22" w:name="_Toc247334846"/>
      <w:bookmarkStart w:id="23" w:name="_Toc225654649"/>
      <w:bookmarkStart w:id="24" w:name="_Toc239233919"/>
      <w:bookmarkStart w:id="25" w:name="_Toc237145411"/>
      <w:bookmarkStart w:id="26" w:name="_Toc185395254"/>
      <w:bookmarkStart w:id="27" w:name="_Toc212019599"/>
      <w:bookmarkStart w:id="28" w:name="_Toc211911353"/>
      <w:bookmarkStart w:id="29" w:name="_Toc211854454"/>
      <w:bookmarkStart w:id="30" w:name="_Toc238984980"/>
      <w:bookmarkStart w:id="31" w:name="_Toc225244857"/>
      <w:bookmarkStart w:id="32" w:name="_Toc239568423"/>
      <w:bookmarkStart w:id="33" w:name="_Toc241833908"/>
      <w:bookmarkStart w:id="34" w:name="_Toc232492933"/>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w:t>
      </w:r>
      <w:r>
        <w:rPr>
          <w:rFonts w:hint="eastAsia" w:ascii="仿宋" w:hAnsi="仿宋" w:eastAsia="仿宋" w:cs="仿宋"/>
          <w:b/>
          <w:sz w:val="20"/>
          <w:szCs w:val="20"/>
          <w:highlight w:val="none"/>
        </w:rPr>
        <w:t>条  合同的变更</w:t>
      </w:r>
    </w:p>
    <w:p w14:paraId="1219A9B2">
      <w:pPr>
        <w:widowControl/>
        <w:spacing w:before="120" w:beforeLines="50" w:after="120" w:afterLines="50" w:line="24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val="en-US" w:eastAsia="zh-CN"/>
        </w:rPr>
        <w:t>1.</w:t>
      </w:r>
      <w:r>
        <w:rPr>
          <w:rFonts w:hint="eastAsia" w:ascii="仿宋" w:hAnsi="仿宋" w:eastAsia="仿宋" w:cs="仿宋"/>
          <w:b w:val="0"/>
          <w:bCs/>
          <w:sz w:val="20"/>
          <w:szCs w:val="20"/>
          <w:highlight w:val="none"/>
        </w:rPr>
        <w:t>在乙方提供服务过程中，对于因非乙方原因导致的需变更原合同约定的服务的，乙方应及时通知甲方，并提出变更理由，修正方案及变更清单，经双方协商并签署有关文件(作为合同附件)后实施。</w:t>
      </w:r>
    </w:p>
    <w:p w14:paraId="775A12EF">
      <w:pPr>
        <w:widowControl/>
        <w:spacing w:before="120" w:beforeLines="50" w:after="120" w:afterLines="50" w:line="24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val="en-US" w:eastAsia="zh-CN"/>
        </w:rPr>
        <w:t>2.</w:t>
      </w:r>
      <w:r>
        <w:rPr>
          <w:rFonts w:hint="eastAsia" w:ascii="仿宋" w:hAnsi="仿宋" w:eastAsia="仿宋" w:cs="仿宋"/>
          <w:b w:val="0"/>
          <w:bCs/>
          <w:sz w:val="20"/>
          <w:szCs w:val="20"/>
          <w:highlight w:val="none"/>
        </w:rPr>
        <w:t>因甲方的原因变更合同的，甲方应以书面形式通知乙方，并经双方协商一致签署有关变更文件。如因此造成乙方履行合同义务的价格或时间增减，双方将在有关部门审批同意后，对合同价，交货时间进行公平调整。除非甲方书面同意，否则乙方保证不因上述调整的进行影响服务正常进度。</w:t>
      </w:r>
    </w:p>
    <w:p w14:paraId="5212BED5">
      <w:pPr>
        <w:widowControl/>
        <w:spacing w:before="120" w:beforeLines="50" w:after="120" w:afterLines="50" w:line="24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val="en-US" w:eastAsia="zh-CN"/>
        </w:rPr>
        <w:t>3.</w:t>
      </w:r>
      <w:r>
        <w:rPr>
          <w:rFonts w:hint="eastAsia" w:ascii="仿宋" w:hAnsi="仿宋" w:eastAsia="仿宋" w:cs="仿宋"/>
          <w:b w:val="0"/>
          <w:bCs/>
          <w:sz w:val="20"/>
          <w:szCs w:val="20"/>
          <w:highlight w:val="none"/>
        </w:rPr>
        <w:t>无论是按本合同要求，或是根据变更合同提供之服务，乙方都不能免除其对应承担的责任。</w:t>
      </w:r>
    </w:p>
    <w:p w14:paraId="015C7E24">
      <w:pPr>
        <w:widowControl/>
        <w:spacing w:before="120" w:beforeLines="50" w:after="120" w:afterLines="50" w:line="240" w:lineRule="auto"/>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十一</w:t>
      </w:r>
      <w:r>
        <w:rPr>
          <w:rFonts w:hint="eastAsia" w:ascii="仿宋" w:hAnsi="仿宋" w:eastAsia="仿宋" w:cs="仿宋"/>
          <w:b/>
          <w:sz w:val="20"/>
          <w:szCs w:val="20"/>
          <w:highlight w:val="none"/>
        </w:rPr>
        <w:t>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B4BCCC">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在执行本合同中发生的或与本合同有关的争端，双方应通过友好协商解决，协商达不成一致时，双方均有权向甲方所在地有管辖权的人民法院提起诉讼。</w:t>
      </w:r>
    </w:p>
    <w:p w14:paraId="5233ECE1">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bookmarkStart w:id="35" w:name="_Toc232492934"/>
      <w:bookmarkStart w:id="36" w:name="_Toc251768868"/>
      <w:bookmarkStart w:id="37" w:name="_Toc237145412"/>
      <w:bookmarkStart w:id="38" w:name="_Toc239233920"/>
      <w:bookmarkStart w:id="39" w:name="_Toc283019219"/>
      <w:bookmarkStart w:id="40" w:name="_Toc225670757"/>
      <w:bookmarkStart w:id="41" w:name="_Toc185395255"/>
      <w:bookmarkStart w:id="42" w:name="_Toc282696231"/>
      <w:bookmarkStart w:id="43" w:name="_Toc211911354"/>
      <w:bookmarkStart w:id="44" w:name="_Toc247334847"/>
      <w:bookmarkStart w:id="45" w:name="_Toc225244858"/>
      <w:bookmarkStart w:id="46" w:name="_Toc225654650"/>
      <w:bookmarkStart w:id="47" w:name="_Toc211854455"/>
      <w:bookmarkStart w:id="48" w:name="_Toc238984981"/>
      <w:bookmarkStart w:id="49" w:name="_Toc286993793"/>
      <w:bookmarkStart w:id="50" w:name="_Toc239568424"/>
      <w:bookmarkStart w:id="51" w:name="_Toc241833909"/>
      <w:bookmarkStart w:id="52" w:name="_Toc212019600"/>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十二</w:t>
      </w:r>
      <w:r>
        <w:rPr>
          <w:rFonts w:hint="eastAsia" w:ascii="仿宋" w:hAnsi="仿宋" w:eastAsia="仿宋" w:cs="仿宋"/>
          <w:b/>
          <w:bCs/>
          <w:color w:val="auto"/>
          <w:sz w:val="20"/>
          <w:szCs w:val="20"/>
          <w:highlight w:val="none"/>
        </w:rPr>
        <w:t>条  监督和管理</w:t>
      </w:r>
    </w:p>
    <w:p w14:paraId="023F91BF">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01876FB">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甲乙双方均应自觉配合有关监督管理部门对合同履行情况的监督检查，如实反映情况，提供有关资料；否则，将对有关单位、当事人按照有关规定予以处罚。</w:t>
      </w:r>
    </w:p>
    <w:p w14:paraId="406169FC">
      <w:pPr>
        <w:widowControl/>
        <w:spacing w:before="120" w:beforeLines="50" w:after="120" w:afterLines="50" w:line="240" w:lineRule="auto"/>
        <w:jc w:val="left"/>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十三</w:t>
      </w:r>
      <w:r>
        <w:rPr>
          <w:rFonts w:hint="eastAsia" w:ascii="仿宋" w:hAnsi="仿宋" w:eastAsia="仿宋" w:cs="仿宋"/>
          <w:b/>
          <w:sz w:val="20"/>
          <w:szCs w:val="20"/>
          <w:highlight w:val="none"/>
        </w:rPr>
        <w:t>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
          <w:sz w:val="20"/>
          <w:szCs w:val="20"/>
          <w:highlight w:val="none"/>
        </w:rPr>
        <w:t>生效及其他</w:t>
      </w:r>
    </w:p>
    <w:p w14:paraId="661ACE8B">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1.合同经双方法定代表人或委托代理人签字并加盖单位章后生效。</w:t>
      </w:r>
    </w:p>
    <w:p w14:paraId="1318FC6C">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2.合同执行中涉及采购资金和采购内容修改或补充的，须经政府采购监管部门审批，并签书面补充协议报政府采购监督管理部门备案，方可作为主合同不可分割的一部分。</w:t>
      </w:r>
    </w:p>
    <w:p w14:paraId="4CF193E5">
      <w:pPr>
        <w:spacing w:line="240" w:lineRule="auto"/>
        <w:ind w:firstLine="400" w:firstLineChars="200"/>
        <w:jc w:val="left"/>
        <w:rPr>
          <w:rFonts w:hint="eastAsia" w:ascii="仿宋" w:hAnsi="仿宋" w:eastAsia="仿宋" w:cs="仿宋"/>
          <w:bCs/>
          <w:sz w:val="20"/>
          <w:szCs w:val="20"/>
          <w:highlight w:val="none"/>
        </w:rPr>
      </w:pPr>
      <w:r>
        <w:rPr>
          <w:rFonts w:hint="eastAsia" w:ascii="仿宋" w:hAnsi="仿宋" w:eastAsia="仿宋" w:cs="仿宋"/>
          <w:bCs/>
          <w:sz w:val="20"/>
          <w:szCs w:val="20"/>
          <w:highlight w:val="none"/>
        </w:rPr>
        <w:t>3.本合同一式</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rPr>
        <w:t>份，自双方签章之日起起效。甲方</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rPr>
        <w:t>份，乙方</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rPr>
        <w:t>份具有同等法律效力。</w:t>
      </w:r>
    </w:p>
    <w:p w14:paraId="17496FA3">
      <w:pPr>
        <w:spacing w:line="240" w:lineRule="auto"/>
        <w:ind w:firstLine="400" w:firstLineChars="200"/>
        <w:jc w:val="left"/>
        <w:rPr>
          <w:rFonts w:hint="eastAsia" w:ascii="仿宋" w:hAnsi="仿宋" w:eastAsia="仿宋" w:cs="仿宋"/>
          <w:bCs/>
          <w:sz w:val="20"/>
          <w:szCs w:val="20"/>
          <w:highlight w:val="none"/>
        </w:rPr>
      </w:pP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AB9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vAlign w:val="top"/>
          </w:tcPr>
          <w:p w14:paraId="325FD27A">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甲 方：</w:t>
            </w:r>
            <w:r>
              <w:rPr>
                <w:rFonts w:hint="eastAsia" w:ascii="仿宋" w:hAnsi="仿宋" w:eastAsia="仿宋" w:cs="仿宋"/>
                <w:kern w:val="0"/>
                <w:sz w:val="20"/>
                <w:szCs w:val="20"/>
                <w:highlight w:val="none"/>
                <w:u w:val="single"/>
              </w:rPr>
              <w:t xml:space="preserve">     （盖章）    </w:t>
            </w:r>
          </w:p>
          <w:p w14:paraId="7297414A">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地 址：</w:t>
            </w:r>
            <w:r>
              <w:rPr>
                <w:rFonts w:hint="eastAsia" w:ascii="仿宋" w:hAnsi="仿宋" w:eastAsia="仿宋" w:cs="仿宋"/>
                <w:kern w:val="0"/>
                <w:sz w:val="20"/>
                <w:szCs w:val="20"/>
                <w:highlight w:val="none"/>
                <w:u w:val="single"/>
              </w:rPr>
              <w:t xml:space="preserve">                 </w:t>
            </w:r>
          </w:p>
          <w:p w14:paraId="287EA384">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邮政编码：</w:t>
            </w:r>
            <w:r>
              <w:rPr>
                <w:rFonts w:hint="eastAsia" w:ascii="仿宋" w:hAnsi="仿宋" w:eastAsia="仿宋" w:cs="仿宋"/>
                <w:kern w:val="0"/>
                <w:sz w:val="20"/>
                <w:szCs w:val="20"/>
                <w:highlight w:val="none"/>
                <w:u w:val="single"/>
              </w:rPr>
              <w:t xml:space="preserve">              </w:t>
            </w:r>
          </w:p>
          <w:p w14:paraId="65E641B7">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法定代表人或其授权</w:t>
            </w:r>
          </w:p>
          <w:p w14:paraId="6EF75E40">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的代理人：</w:t>
            </w:r>
            <w:r>
              <w:rPr>
                <w:rFonts w:hint="eastAsia" w:ascii="仿宋" w:hAnsi="仿宋" w:eastAsia="仿宋" w:cs="仿宋"/>
                <w:kern w:val="0"/>
                <w:sz w:val="20"/>
                <w:szCs w:val="20"/>
                <w:highlight w:val="none"/>
                <w:u w:val="single"/>
              </w:rPr>
              <w:t>（</w:t>
            </w:r>
            <w:r>
              <w:rPr>
                <w:rFonts w:hint="eastAsia" w:ascii="仿宋" w:hAnsi="仿宋" w:eastAsia="仿宋" w:cs="仿宋"/>
                <w:color w:val="auto"/>
                <w:sz w:val="20"/>
                <w:szCs w:val="20"/>
                <w:highlight w:val="none"/>
                <w:u w:val="single"/>
              </w:rPr>
              <w:t>签字或盖章</w:t>
            </w:r>
            <w:r>
              <w:rPr>
                <w:rFonts w:hint="eastAsia" w:ascii="仿宋" w:hAnsi="仿宋" w:eastAsia="仿宋" w:cs="仿宋"/>
                <w:kern w:val="0"/>
                <w:sz w:val="20"/>
                <w:szCs w:val="20"/>
                <w:highlight w:val="none"/>
                <w:u w:val="single"/>
              </w:rPr>
              <w:t xml:space="preserve">）      </w:t>
            </w:r>
          </w:p>
          <w:p w14:paraId="7C08E67F">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开户银行：</w:t>
            </w:r>
            <w:r>
              <w:rPr>
                <w:rFonts w:hint="eastAsia" w:ascii="仿宋" w:hAnsi="仿宋" w:eastAsia="仿宋" w:cs="仿宋"/>
                <w:kern w:val="0"/>
                <w:sz w:val="20"/>
                <w:szCs w:val="20"/>
                <w:highlight w:val="none"/>
                <w:u w:val="single"/>
              </w:rPr>
              <w:t xml:space="preserve">              </w:t>
            </w:r>
          </w:p>
          <w:p w14:paraId="52636FBC">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账号：</w:t>
            </w:r>
            <w:r>
              <w:rPr>
                <w:rFonts w:hint="eastAsia" w:ascii="仿宋" w:hAnsi="仿宋" w:eastAsia="仿宋" w:cs="仿宋"/>
                <w:kern w:val="0"/>
                <w:sz w:val="20"/>
                <w:szCs w:val="20"/>
                <w:highlight w:val="none"/>
                <w:u w:val="single"/>
              </w:rPr>
              <w:t xml:space="preserve">                  </w:t>
            </w:r>
          </w:p>
          <w:p w14:paraId="5B75F68F">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电话：</w:t>
            </w:r>
            <w:r>
              <w:rPr>
                <w:rFonts w:hint="eastAsia" w:ascii="仿宋" w:hAnsi="仿宋" w:eastAsia="仿宋" w:cs="仿宋"/>
                <w:kern w:val="0"/>
                <w:sz w:val="20"/>
                <w:szCs w:val="20"/>
                <w:highlight w:val="none"/>
                <w:u w:val="single"/>
              </w:rPr>
              <w:t xml:space="preserve">                  </w:t>
            </w:r>
          </w:p>
          <w:p w14:paraId="4797B6A7">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传真：</w:t>
            </w:r>
            <w:r>
              <w:rPr>
                <w:rFonts w:hint="eastAsia" w:ascii="仿宋" w:hAnsi="仿宋" w:eastAsia="仿宋" w:cs="仿宋"/>
                <w:kern w:val="0"/>
                <w:sz w:val="20"/>
                <w:szCs w:val="20"/>
                <w:highlight w:val="none"/>
                <w:u w:val="single"/>
              </w:rPr>
              <w:t xml:space="preserve">                  </w:t>
            </w:r>
          </w:p>
          <w:p w14:paraId="1DB99418">
            <w:pPr>
              <w:widowControl w:val="0"/>
              <w:spacing w:line="360" w:lineRule="auto"/>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电子邮箱：</w:t>
            </w:r>
            <w:r>
              <w:rPr>
                <w:rFonts w:hint="eastAsia" w:ascii="仿宋" w:hAnsi="仿宋" w:eastAsia="仿宋" w:cs="仿宋"/>
                <w:kern w:val="0"/>
                <w:sz w:val="20"/>
                <w:szCs w:val="20"/>
                <w:highlight w:val="none"/>
                <w:u w:val="single"/>
              </w:rPr>
              <w:t xml:space="preserve">              </w:t>
            </w:r>
          </w:p>
          <w:p w14:paraId="6852D479">
            <w:pPr>
              <w:widowControl w:val="0"/>
              <w:spacing w:line="360" w:lineRule="auto"/>
              <w:rPr>
                <w:rFonts w:hint="eastAsia" w:ascii="仿宋" w:hAnsi="仿宋" w:eastAsia="仿宋" w:cs="仿宋"/>
                <w:kern w:val="0"/>
                <w:sz w:val="20"/>
                <w:szCs w:val="20"/>
                <w:highlight w:val="none"/>
                <w:u w:val="single"/>
              </w:rPr>
            </w:pPr>
            <w:r>
              <w:rPr>
                <w:rFonts w:hint="eastAsia" w:ascii="仿宋" w:hAnsi="仿宋" w:eastAsia="仿宋" w:cs="仿宋"/>
                <w:bCs/>
                <w:sz w:val="20"/>
                <w:szCs w:val="20"/>
                <w:highlight w:val="none"/>
              </w:rPr>
              <w:t>签约日期：</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年</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月</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日</w:t>
            </w:r>
          </w:p>
        </w:tc>
        <w:tc>
          <w:tcPr>
            <w:tcW w:w="4261" w:type="dxa"/>
            <w:tcBorders>
              <w:tl2br w:val="nil"/>
              <w:tr2bl w:val="nil"/>
            </w:tcBorders>
            <w:vAlign w:val="top"/>
          </w:tcPr>
          <w:p w14:paraId="71B56FB1">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乙 方：</w:t>
            </w:r>
            <w:r>
              <w:rPr>
                <w:rFonts w:hint="eastAsia" w:ascii="仿宋" w:hAnsi="仿宋" w:eastAsia="仿宋" w:cs="仿宋"/>
                <w:kern w:val="0"/>
                <w:sz w:val="20"/>
                <w:szCs w:val="20"/>
                <w:highlight w:val="none"/>
                <w:u w:val="single"/>
              </w:rPr>
              <w:t xml:space="preserve">     （盖章）    </w:t>
            </w:r>
          </w:p>
          <w:p w14:paraId="7474463D">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地 址：</w:t>
            </w:r>
            <w:r>
              <w:rPr>
                <w:rFonts w:hint="eastAsia" w:ascii="仿宋" w:hAnsi="仿宋" w:eastAsia="仿宋" w:cs="仿宋"/>
                <w:kern w:val="0"/>
                <w:sz w:val="20"/>
                <w:szCs w:val="20"/>
                <w:highlight w:val="none"/>
                <w:u w:val="single"/>
              </w:rPr>
              <w:t xml:space="preserve">                 </w:t>
            </w:r>
          </w:p>
          <w:p w14:paraId="15441450">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邮政编码：</w:t>
            </w:r>
            <w:r>
              <w:rPr>
                <w:rFonts w:hint="eastAsia" w:ascii="仿宋" w:hAnsi="仿宋" w:eastAsia="仿宋" w:cs="仿宋"/>
                <w:kern w:val="0"/>
                <w:sz w:val="20"/>
                <w:szCs w:val="20"/>
                <w:highlight w:val="none"/>
                <w:u w:val="single"/>
              </w:rPr>
              <w:t xml:space="preserve">              </w:t>
            </w:r>
          </w:p>
          <w:p w14:paraId="1D601F0A">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法定代表人或其授权</w:t>
            </w:r>
          </w:p>
          <w:p w14:paraId="4B9F3CBE">
            <w:pPr>
              <w:widowControl w:val="0"/>
              <w:spacing w:line="360" w:lineRule="auto"/>
              <w:rPr>
                <w:rFonts w:hint="eastAsia" w:ascii="仿宋" w:hAnsi="仿宋" w:eastAsia="仿宋" w:cs="仿宋"/>
                <w:sz w:val="20"/>
                <w:szCs w:val="20"/>
                <w:highlight w:val="none"/>
                <w:u w:val="single"/>
              </w:rPr>
            </w:pPr>
            <w:r>
              <w:rPr>
                <w:rFonts w:hint="eastAsia" w:ascii="仿宋" w:hAnsi="仿宋" w:eastAsia="仿宋" w:cs="仿宋"/>
                <w:kern w:val="0"/>
                <w:sz w:val="20"/>
                <w:szCs w:val="20"/>
                <w:highlight w:val="none"/>
              </w:rPr>
              <w:t>的代理人：</w:t>
            </w:r>
            <w:r>
              <w:rPr>
                <w:rFonts w:hint="eastAsia" w:ascii="仿宋" w:hAnsi="仿宋" w:eastAsia="仿宋" w:cs="仿宋"/>
                <w:kern w:val="0"/>
                <w:sz w:val="20"/>
                <w:szCs w:val="20"/>
                <w:highlight w:val="none"/>
                <w:u w:val="single"/>
              </w:rPr>
              <w:t>（</w:t>
            </w:r>
            <w:r>
              <w:rPr>
                <w:rFonts w:hint="eastAsia" w:ascii="仿宋" w:hAnsi="仿宋" w:eastAsia="仿宋" w:cs="仿宋"/>
                <w:color w:val="auto"/>
                <w:sz w:val="20"/>
                <w:szCs w:val="20"/>
                <w:highlight w:val="none"/>
                <w:u w:val="single"/>
              </w:rPr>
              <w:t>签字或盖章</w:t>
            </w:r>
            <w:r>
              <w:rPr>
                <w:rFonts w:hint="eastAsia" w:ascii="仿宋" w:hAnsi="仿宋" w:eastAsia="仿宋" w:cs="仿宋"/>
                <w:kern w:val="0"/>
                <w:sz w:val="20"/>
                <w:szCs w:val="20"/>
                <w:highlight w:val="none"/>
                <w:u w:val="single"/>
              </w:rPr>
              <w:t xml:space="preserve">）      </w:t>
            </w:r>
          </w:p>
          <w:p w14:paraId="1B3293DC">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开户银行：</w:t>
            </w:r>
            <w:r>
              <w:rPr>
                <w:rFonts w:hint="eastAsia" w:ascii="仿宋" w:hAnsi="仿宋" w:eastAsia="仿宋" w:cs="仿宋"/>
                <w:kern w:val="0"/>
                <w:sz w:val="20"/>
                <w:szCs w:val="20"/>
                <w:highlight w:val="none"/>
                <w:u w:val="single"/>
              </w:rPr>
              <w:t xml:space="preserve">              </w:t>
            </w:r>
          </w:p>
          <w:p w14:paraId="4C3ADECD">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账号：</w:t>
            </w:r>
            <w:r>
              <w:rPr>
                <w:rFonts w:hint="eastAsia" w:ascii="仿宋" w:hAnsi="仿宋" w:eastAsia="仿宋" w:cs="仿宋"/>
                <w:kern w:val="0"/>
                <w:sz w:val="20"/>
                <w:szCs w:val="20"/>
                <w:highlight w:val="none"/>
                <w:u w:val="single"/>
              </w:rPr>
              <w:t xml:space="preserve">                  </w:t>
            </w:r>
          </w:p>
          <w:p w14:paraId="5331E7E9">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电话：</w:t>
            </w:r>
            <w:r>
              <w:rPr>
                <w:rFonts w:hint="eastAsia" w:ascii="仿宋" w:hAnsi="仿宋" w:eastAsia="仿宋" w:cs="仿宋"/>
                <w:kern w:val="0"/>
                <w:sz w:val="20"/>
                <w:szCs w:val="20"/>
                <w:highlight w:val="none"/>
                <w:u w:val="single"/>
              </w:rPr>
              <w:t xml:space="preserve">                  </w:t>
            </w:r>
          </w:p>
          <w:p w14:paraId="69311372">
            <w:pPr>
              <w:widowControl w:val="0"/>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传真：</w:t>
            </w:r>
            <w:r>
              <w:rPr>
                <w:rFonts w:hint="eastAsia" w:ascii="仿宋" w:hAnsi="仿宋" w:eastAsia="仿宋" w:cs="仿宋"/>
                <w:kern w:val="0"/>
                <w:sz w:val="20"/>
                <w:szCs w:val="20"/>
                <w:highlight w:val="none"/>
                <w:u w:val="single"/>
              </w:rPr>
              <w:t xml:space="preserve">                  </w:t>
            </w:r>
          </w:p>
          <w:p w14:paraId="64E2E8EC">
            <w:pPr>
              <w:widowControl w:val="0"/>
              <w:spacing w:line="360" w:lineRule="auto"/>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电子邮箱：</w:t>
            </w:r>
            <w:r>
              <w:rPr>
                <w:rFonts w:hint="eastAsia" w:ascii="仿宋" w:hAnsi="仿宋" w:eastAsia="仿宋" w:cs="仿宋"/>
                <w:kern w:val="0"/>
                <w:sz w:val="20"/>
                <w:szCs w:val="20"/>
                <w:highlight w:val="none"/>
                <w:u w:val="single"/>
              </w:rPr>
              <w:t xml:space="preserve">              </w:t>
            </w:r>
          </w:p>
          <w:p w14:paraId="1900FC67">
            <w:pPr>
              <w:widowControl w:val="0"/>
              <w:spacing w:line="360" w:lineRule="auto"/>
              <w:rPr>
                <w:rFonts w:hint="eastAsia" w:ascii="仿宋" w:hAnsi="仿宋" w:eastAsia="仿宋" w:cs="仿宋"/>
                <w:kern w:val="0"/>
                <w:sz w:val="20"/>
                <w:szCs w:val="20"/>
                <w:highlight w:val="none"/>
              </w:rPr>
            </w:pPr>
            <w:r>
              <w:rPr>
                <w:rFonts w:hint="eastAsia" w:ascii="仿宋" w:hAnsi="仿宋" w:eastAsia="仿宋" w:cs="仿宋"/>
                <w:bCs/>
                <w:sz w:val="20"/>
                <w:szCs w:val="20"/>
                <w:highlight w:val="none"/>
              </w:rPr>
              <w:t>签约日期：</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年</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月</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日</w:t>
            </w:r>
          </w:p>
        </w:tc>
      </w:tr>
    </w:tbl>
    <w:p w14:paraId="2C597853">
      <w:pPr>
        <w:rPr>
          <w:highlight w:val="none"/>
        </w:rPr>
      </w:pPr>
    </w:p>
    <w:p w14:paraId="26C07B3D">
      <w:pPr>
        <w:rPr>
          <w:highlight w:val="none"/>
        </w:rPr>
      </w:pPr>
    </w:p>
    <w:p w14:paraId="0727B056">
      <w:bookmarkStart w:id="53" w:name="_GoBack"/>
      <w:bookmarkEnd w:id="5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17EEE"/>
    <w:rsid w:val="06217EEE"/>
    <w:rsid w:val="750A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1"/>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3428</Words>
  <Characters>3495</Characters>
  <Lines>0</Lines>
  <Paragraphs>0</Paragraphs>
  <TotalTime>0</TotalTime>
  <ScaleCrop>false</ScaleCrop>
  <LinksUpToDate>false</LinksUpToDate>
  <CharactersWithSpaces>3870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2026-05-28T01:42:00Z</dcterms:created>
  <dc:creator>aaa</dc:creator>
  <cp:lastModifiedBy>aaa</cp:lastModifiedBy>
  <dcterms:modified xsi:type="dcterms:W3CDTF">2026-05-29T09:10:30Z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17A96072CF274DD18211C8439058E5F9_11</vt:lpwstr>
  </property>
  <property fmtid="{D5CDD505-2E9C-101B-9397-08002B2CF9AE}" pid="4" name="KSOTemplateDocerSaveRecord">
    <vt:lpwstr>eyJoZGlkIjoiOGQxZDQyYjEzNTMyMmM2MjRlM2NjM2ExN2I0YjhmNzciLCJ1c2VySWQiOiI0MTA1MzM4NDYifQ==</vt:lpwstr>
  </property>
</Properties>
</file>