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35EB9">
      <w:pPr>
        <w:jc w:val="center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质量保障及应急措施</w:t>
      </w:r>
      <w:bookmarkStart w:id="0" w:name="_GoBack"/>
      <w:bookmarkEnd w:id="0"/>
    </w:p>
    <w:p w14:paraId="6202DB83">
      <w:pPr>
        <w:jc w:val="center"/>
        <w:rPr>
          <w:rFonts w:ascii="仿宋_GB2312" w:hAnsi="仿宋_GB2312" w:eastAsia="仿宋_GB2312" w:cs="仿宋_GB2312"/>
          <w:b w:val="0"/>
          <w:bCs w:val="0"/>
          <w:sz w:val="22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</w:rPr>
        <w:t>（各供应商根据评审办法，自主编写方案）</w:t>
      </w:r>
    </w:p>
    <w:p w14:paraId="363B0E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E503E"/>
    <w:rsid w:val="6B1E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2026-06-12T01:38:00Z</dcterms:created>
  <dc:creator>zl</dc:creator>
  <cp:lastModifiedBy>zl</cp:lastModifiedBy>
  <dcterms:modified xsi:type="dcterms:W3CDTF">2026-06-12T01:40:23Z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0781F4A6CCBC469989C29C1E1E64A83B_11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