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版本号：慧科ZX-CG01130BF20260821001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西安市中心城区城镇标定地价更新项目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慧科ZX-CG01130BF</w:t>
      </w:r>
      <w:r>
        <w:br/>
      </w:r>
      <w:r>
        <w:br/>
      </w:r>
      <w:r>
        <w:br/>
      </w:r>
    </w:p>
    <w:p>
      <w:pPr>
        <w:pStyle w:val="null3"/>
        <w:jc w:val="center"/>
        <w:outlineLvl w:val="2"/>
      </w:pPr>
      <w:r>
        <w:rPr>
          <w:rFonts w:ascii="仿宋_GB2312" w:hAnsi="仿宋_GB2312" w:cs="仿宋_GB2312" w:eastAsia="仿宋_GB2312"/>
          <w:sz w:val="28"/>
          <w:b/>
        </w:rPr>
        <w:t>西安市自然资源和规划局（本级）</w:t>
      </w:r>
    </w:p>
    <w:p>
      <w:pPr>
        <w:pStyle w:val="null3"/>
        <w:jc w:val="center"/>
        <w:outlineLvl w:val="2"/>
      </w:pPr>
      <w:r>
        <w:rPr>
          <w:rFonts w:ascii="仿宋_GB2312" w:hAnsi="仿宋_GB2312" w:cs="仿宋_GB2312" w:eastAsia="仿宋_GB2312"/>
          <w:sz w:val="28"/>
          <w:b/>
        </w:rPr>
        <w:t>陕西慧科工程管理咨询有限公司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陕西慧科工程管理咨询有限公司</w:t>
      </w:r>
      <w:r>
        <w:rPr>
          <w:rFonts w:ascii="仿宋_GB2312" w:hAnsi="仿宋_GB2312" w:cs="仿宋_GB2312" w:eastAsia="仿宋_GB2312"/>
        </w:rPr>
        <w:t>（以下简称“代理机构”）受</w:t>
      </w:r>
      <w:r>
        <w:rPr>
          <w:rFonts w:ascii="仿宋_GB2312" w:hAnsi="仿宋_GB2312" w:cs="仿宋_GB2312" w:eastAsia="仿宋_GB2312"/>
        </w:rPr>
        <w:t>西安市自然资源和规划局（本级）</w:t>
      </w:r>
      <w:r>
        <w:rPr>
          <w:rFonts w:ascii="仿宋_GB2312" w:hAnsi="仿宋_GB2312" w:cs="仿宋_GB2312" w:eastAsia="仿宋_GB2312"/>
        </w:rPr>
        <w:t>委托，拟对</w:t>
      </w:r>
      <w:r>
        <w:rPr>
          <w:rFonts w:ascii="仿宋_GB2312" w:hAnsi="仿宋_GB2312" w:cs="仿宋_GB2312" w:eastAsia="仿宋_GB2312"/>
        </w:rPr>
        <w:t>西安市中心城区城镇标定地价更新项目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慧科ZX-CG01130BF</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西安市中心城区城镇标定地价更新项目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全面落实自然资源部及省自然资源厅关于土地资源管理的部署要求，聚焦我市地价管理的关键环节，开展西安市中心城区城镇标定地价更新项目。更新商服和居住用地标定地价工作范围，调整标定区域，更新标准宗地，评估标定地价;按照技术规范，形成更新成果，包括文本、表格、图件及数据库成果;更新成果通过省级验收，并完成公示及备案工作。具体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采购包1（西安市中心城区城镇标定地价更新项目）：属于专门面向中小企业采购。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参加的，须提供法定代表人身份证明及本人身份证复印件；法定代表人授权他人参加的，须提供法定代表人委托授权书、被授权代表的身份证复印件，被授权人参加的还需要提供在本单位缴纳的社保证明（近三个月内任意一个月，磋商截止时间当月不计入）；</w:t>
      </w:r>
    </w:p>
    <w:p>
      <w:pPr>
        <w:pStyle w:val="null3"/>
      </w:pPr>
      <w:r>
        <w:rPr>
          <w:rFonts w:ascii="仿宋_GB2312" w:hAnsi="仿宋_GB2312" w:cs="仿宋_GB2312" w:eastAsia="仿宋_GB2312"/>
        </w:rPr>
        <w:t>2、企业资质：供应商须在省级及以上自然资源主管部门完成土地估价机构备案；</w:t>
      </w:r>
    </w:p>
    <w:p>
      <w:pPr>
        <w:pStyle w:val="null3"/>
      </w:pPr>
      <w:r>
        <w:rPr>
          <w:rFonts w:ascii="仿宋_GB2312" w:hAnsi="仿宋_GB2312" w:cs="仿宋_GB2312" w:eastAsia="仿宋_GB2312"/>
        </w:rPr>
        <w:t>3、信用查询：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并加盖供应商公章（以开标当天代理机构核查为准）；</w:t>
      </w:r>
    </w:p>
    <w:p>
      <w:pPr>
        <w:pStyle w:val="null3"/>
      </w:pPr>
      <w:r>
        <w:rPr>
          <w:rFonts w:ascii="仿宋_GB2312" w:hAnsi="仿宋_GB2312" w:cs="仿宋_GB2312" w:eastAsia="仿宋_GB2312"/>
        </w:rPr>
        <w:t>4、非联合体磋商：本项目不接受联合体磋商；（提供书面声明，加盖供应商公章）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西安市自然资源和规划局（本级）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西安市经济技术开发区凤城九路139号1号楼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景阳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029-61329211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陕西慧科工程管理咨询有限公司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陕西省西安市雁塔区曲江文创中心双子座7号楼17层1702</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宋霜晨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18189240095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采购包1：751,200.00元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代理服务费收费标准：成交供应商在领取《成交通知书》之前，向采购代理机构一次付清招标代理服务费。代理服务费参照发改办价格〔2015〕299号、国家计委关 于印发《招标代理服务收费管理暂行办法》的通知（计价格〔2002〕1980 号）、《国家发展和改革委员会办公厅关招标代理服务收费有关问题的通知》（发改办价格〔2003〕857号）规定收取。 银行名称：陕西慧科工程管理咨询有限公司 税号：91610131MA6X2CEF3K 单位地址：陕西省西安市高新区锦业一路西安研祥城市广场C座3楼C－306号 开户银行：交通银行股份有限公司西安光华路支行 银行账户：611301135013001841428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西安市自然资源和规划局（本级）</w:t>
      </w:r>
      <w:r>
        <w:rPr>
          <w:rFonts w:ascii="仿宋_GB2312" w:hAnsi="仿宋_GB2312" w:cs="仿宋_GB2312" w:eastAsia="仿宋_GB2312"/>
        </w:rPr>
        <w:t>和</w:t>
      </w:r>
      <w:r>
        <w:rPr>
          <w:rFonts w:ascii="仿宋_GB2312" w:hAnsi="仿宋_GB2312" w:cs="仿宋_GB2312" w:eastAsia="仿宋_GB2312"/>
        </w:rPr>
        <w:t>陕西慧科工程管理咨询有限公司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西安市自然资源和规划局（本级）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陕西慧科工程管理咨询有限公司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西安市自然资源和规划局（本级）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陕西慧科工程管理咨询有限公司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实施全过程形成的评估报告、台账清单、数据库、汇报材料、各类附件等全部编制成果、衍生知识成果、地理数据的所有权、著作权、知识产权全部归采购人所有；供应商仅可用于本项目履约工作，不得私自留存、对外转让、商用、转借、公开传播项目任何涉密及非涉密成果资料。</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磋商文件、响应文件、合同文本、国家及省级相关技术标准和规范，包括不限于以下内容： 1.TD/T 1052-2017《标定地价规程》 2.GB/T 18508-2014《城镇土地估价规程》 3.《陕西省2025年度城镇标定地价体系更新技术指南》</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联系人：宋霜晨</w:t>
      </w:r>
    </w:p>
    <w:p>
      <w:pPr>
        <w:pStyle w:val="null3"/>
      </w:pPr>
      <w:r>
        <w:rPr>
          <w:rFonts w:ascii="仿宋_GB2312" w:hAnsi="仿宋_GB2312" w:cs="仿宋_GB2312" w:eastAsia="仿宋_GB2312"/>
        </w:rPr>
        <w:t>联系电话：18189240095</w:t>
      </w:r>
    </w:p>
    <w:p>
      <w:pPr>
        <w:pStyle w:val="null3"/>
      </w:pPr>
      <w:r>
        <w:rPr>
          <w:rFonts w:ascii="仿宋_GB2312" w:hAnsi="仿宋_GB2312" w:cs="仿宋_GB2312" w:eastAsia="仿宋_GB2312"/>
        </w:rPr>
        <w:t>地址：陕西省西安市雁塔区曲江文创中心双子座7号楼17层1702</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全面落实自然资源部及省自然资源厅关于土地资源管理的部署要求，聚焦我市地价管理的关键环节，开展西安市中心城区城镇标定地价更新项目。更新商服和居住用地标定地价工作范围，调整标定区域，更新标准宗地，评估标定地价;按照技术规范，形成更新成果，包括文本、表格、图件及数据库成果;更新成果通过省级验收，并完成公示及备案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751,200.00</w:t>
      </w:r>
    </w:p>
    <w:p>
      <w:pPr>
        <w:pStyle w:val="null3"/>
      </w:pPr>
      <w:r>
        <w:rPr>
          <w:rFonts w:ascii="仿宋_GB2312" w:hAnsi="仿宋_GB2312" w:cs="仿宋_GB2312" w:eastAsia="仿宋_GB2312"/>
        </w:rPr>
        <w:t>采购包最高限价（元）: 751,200.00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西安市中心城区城镇标定地价更新项目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751,200.00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标的名称：西安市中心城区城镇标定地价更新项目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一、项目概况</w:t>
            </w:r>
          </w:p>
          <w:p>
            <w:pPr>
              <w:pStyle w:val="null3"/>
              <w:ind w:firstLine="480"/>
              <w:jc w:val="both"/>
            </w:pPr>
            <w:r>
              <w:rPr>
                <w:rFonts w:ascii="仿宋_GB2312" w:hAnsi="仿宋_GB2312" w:cs="仿宋_GB2312" w:eastAsia="仿宋_GB2312"/>
                <w:sz w:val="24"/>
              </w:rPr>
              <w:t>为全面落实自然资源部及省自然资源厅关于土地资源管理的部署要求，聚焦我市地价管理的关键环节，开展西安市中心城区城镇标定地价更新项目。</w:t>
            </w:r>
          </w:p>
          <w:p>
            <w:pPr>
              <w:pStyle w:val="null3"/>
              <w:ind w:firstLine="480"/>
              <w:jc w:val="both"/>
            </w:pPr>
            <w:r>
              <w:rPr>
                <w:rFonts w:ascii="仿宋_GB2312" w:hAnsi="仿宋_GB2312" w:cs="仿宋_GB2312" w:eastAsia="仿宋_GB2312"/>
                <w:sz w:val="24"/>
              </w:rPr>
              <w:t>二、服务内容</w:t>
            </w:r>
          </w:p>
          <w:p>
            <w:pPr>
              <w:pStyle w:val="null3"/>
              <w:ind w:firstLine="480"/>
              <w:jc w:val="both"/>
            </w:pPr>
            <w:r>
              <w:rPr>
                <w:rFonts w:ascii="仿宋_GB2312" w:hAnsi="仿宋_GB2312" w:cs="仿宋_GB2312" w:eastAsia="仿宋_GB2312"/>
                <w:sz w:val="24"/>
              </w:rPr>
              <w:t>更新商服和居住用地标定地价工作范围，调整标定区域，更新标准宗地，评估标定地价；按照技术规范，形成更新成果，包括文本、表格、图件及数据库成果；更新成果通过省级验收，并完成公示及备案工作。</w:t>
            </w:r>
          </w:p>
          <w:p>
            <w:pPr>
              <w:pStyle w:val="null3"/>
              <w:ind w:firstLine="480"/>
              <w:jc w:val="both"/>
            </w:pPr>
            <w:r>
              <w:rPr>
                <w:rFonts w:ascii="仿宋_GB2312" w:hAnsi="仿宋_GB2312" w:cs="仿宋_GB2312" w:eastAsia="仿宋_GB2312"/>
                <w:sz w:val="24"/>
              </w:rPr>
              <w:t>三、技术要求</w:t>
            </w:r>
          </w:p>
          <w:p>
            <w:pPr>
              <w:pStyle w:val="null3"/>
              <w:ind w:firstLine="480"/>
              <w:jc w:val="both"/>
            </w:pPr>
            <w:r>
              <w:rPr>
                <w:rFonts w:ascii="仿宋_GB2312" w:hAnsi="仿宋_GB2312" w:cs="仿宋_GB2312" w:eastAsia="仿宋_GB2312"/>
                <w:sz w:val="24"/>
              </w:rPr>
              <w:t>按照《标定地价规程》</w:t>
            </w:r>
            <w:r>
              <w:rPr>
                <w:rFonts w:ascii="仿宋_GB2312" w:hAnsi="仿宋_GB2312" w:cs="仿宋_GB2312" w:eastAsia="仿宋_GB2312"/>
                <w:sz w:val="24"/>
              </w:rPr>
              <w:t>(TD/T1052-2017)、《城镇土地估价规程》(GB/T18508-2014)以及《陕西省2025年度城镇标定地价体系更新技术指南》技术要求开展工作。</w:t>
            </w:r>
          </w:p>
          <w:p>
            <w:pPr>
              <w:pStyle w:val="null3"/>
              <w:ind w:firstLine="480"/>
              <w:jc w:val="both"/>
            </w:pPr>
            <w:r>
              <w:rPr>
                <w:rFonts w:ascii="仿宋_GB2312" w:hAnsi="仿宋_GB2312" w:cs="仿宋_GB2312" w:eastAsia="仿宋_GB2312"/>
                <w:sz w:val="24"/>
              </w:rPr>
              <w:t>四、服务要求</w:t>
            </w:r>
            <w:r>
              <w:rPr>
                <w:rFonts w:ascii="仿宋_GB2312" w:hAnsi="仿宋_GB2312" w:cs="仿宋_GB2312" w:eastAsia="仿宋_GB2312"/>
                <w:sz w:val="24"/>
              </w:rPr>
              <w:t>(人员配置、专业设备、服务标准等)</w:t>
            </w:r>
          </w:p>
          <w:p>
            <w:pPr>
              <w:pStyle w:val="null3"/>
              <w:ind w:firstLine="480"/>
              <w:jc w:val="both"/>
            </w:pPr>
            <w:r>
              <w:rPr>
                <w:rFonts w:ascii="仿宋_GB2312" w:hAnsi="仿宋_GB2312" w:cs="仿宋_GB2312" w:eastAsia="仿宋_GB2312"/>
                <w:sz w:val="24"/>
              </w:rPr>
              <w:t>1.熟悉国家自然资源领域相关政策和西安市地产市场。</w:t>
            </w:r>
          </w:p>
          <w:p>
            <w:pPr>
              <w:pStyle w:val="null3"/>
              <w:ind w:firstLine="480"/>
              <w:jc w:val="both"/>
            </w:pPr>
            <w:r>
              <w:rPr>
                <w:rFonts w:ascii="仿宋_GB2312" w:hAnsi="仿宋_GB2312" w:cs="仿宋_GB2312" w:eastAsia="仿宋_GB2312"/>
                <w:sz w:val="24"/>
              </w:rPr>
              <w:t>2.服务商须合理组建项目团队，确定项目负责人和技术负责人，项目负责人和技术负责人应具有较高的专业技术能力和相应资质要求。</w:t>
            </w:r>
          </w:p>
          <w:p>
            <w:pPr>
              <w:pStyle w:val="null3"/>
              <w:ind w:firstLine="480"/>
              <w:jc w:val="both"/>
            </w:pPr>
            <w:r>
              <w:rPr>
                <w:rFonts w:ascii="仿宋_GB2312" w:hAnsi="仿宋_GB2312" w:cs="仿宋_GB2312" w:eastAsia="仿宋_GB2312"/>
                <w:sz w:val="24"/>
              </w:rPr>
              <w:t>3.项目团队需配备一定数量土地估价师。</w:t>
            </w:r>
          </w:p>
          <w:p>
            <w:pPr>
              <w:pStyle w:val="null3"/>
              <w:ind w:firstLine="480"/>
              <w:jc w:val="both"/>
            </w:pPr>
            <w:r>
              <w:rPr>
                <w:rFonts w:ascii="仿宋_GB2312" w:hAnsi="仿宋_GB2312" w:cs="仿宋_GB2312" w:eastAsia="仿宋_GB2312"/>
                <w:sz w:val="24"/>
              </w:rPr>
              <w:t>4.项目成果内容应符合国家及省级相关技术要求。</w:t>
            </w:r>
          </w:p>
          <w:p>
            <w:pPr>
              <w:pStyle w:val="null3"/>
              <w:ind w:firstLine="480"/>
              <w:jc w:val="both"/>
            </w:pPr>
            <w:r>
              <w:rPr>
                <w:rFonts w:ascii="仿宋_GB2312" w:hAnsi="仿宋_GB2312" w:cs="仿宋_GB2312" w:eastAsia="仿宋_GB2312"/>
                <w:sz w:val="24"/>
              </w:rPr>
              <w:t>五、商务要求</w:t>
            </w:r>
            <w:r>
              <w:rPr>
                <w:rFonts w:ascii="仿宋_GB2312" w:hAnsi="仿宋_GB2312" w:cs="仿宋_GB2312" w:eastAsia="仿宋_GB2312"/>
                <w:sz w:val="24"/>
              </w:rPr>
              <w:t>(服务期限、款项结算等)</w:t>
            </w:r>
          </w:p>
          <w:p>
            <w:pPr>
              <w:pStyle w:val="null3"/>
              <w:ind w:firstLine="480"/>
              <w:jc w:val="both"/>
            </w:pPr>
            <w:r>
              <w:rPr>
                <w:rFonts w:ascii="仿宋_GB2312" w:hAnsi="仿宋_GB2312" w:cs="仿宋_GB2312" w:eastAsia="仿宋_GB2312"/>
                <w:sz w:val="24"/>
              </w:rPr>
              <w:t>(一)服务期限</w:t>
            </w:r>
          </w:p>
          <w:p>
            <w:pPr>
              <w:pStyle w:val="null3"/>
              <w:ind w:firstLine="480"/>
              <w:jc w:val="both"/>
            </w:pPr>
            <w:r>
              <w:rPr>
                <w:rFonts w:ascii="仿宋_GB2312" w:hAnsi="仿宋_GB2312" w:cs="仿宋_GB2312" w:eastAsia="仿宋_GB2312"/>
                <w:sz w:val="24"/>
              </w:rPr>
              <w:t>项目服务期自合同签订之日起至</w:t>
            </w:r>
            <w:r>
              <w:rPr>
                <w:rFonts w:ascii="仿宋_GB2312" w:hAnsi="仿宋_GB2312" w:cs="仿宋_GB2312" w:eastAsia="仿宋_GB2312"/>
                <w:sz w:val="24"/>
              </w:rPr>
              <w:t>2026年12月15日止。</w:t>
            </w:r>
          </w:p>
          <w:p>
            <w:pPr>
              <w:pStyle w:val="null3"/>
              <w:ind w:firstLine="480"/>
              <w:jc w:val="both"/>
            </w:pPr>
            <w:r>
              <w:rPr>
                <w:rFonts w:ascii="仿宋_GB2312" w:hAnsi="仿宋_GB2312" w:cs="仿宋_GB2312" w:eastAsia="仿宋_GB2312"/>
                <w:sz w:val="24"/>
              </w:rPr>
              <w:t>(二)款项结算</w:t>
            </w:r>
          </w:p>
          <w:p>
            <w:pPr>
              <w:pStyle w:val="null3"/>
              <w:ind w:firstLine="480"/>
              <w:jc w:val="both"/>
            </w:pPr>
            <w:r>
              <w:rPr>
                <w:rFonts w:ascii="仿宋_GB2312" w:hAnsi="仿宋_GB2312" w:cs="仿宋_GB2312" w:eastAsia="仿宋_GB2312"/>
                <w:sz w:val="24"/>
              </w:rPr>
              <w:t>合同签订后支付合同总额</w:t>
            </w:r>
            <w:r>
              <w:rPr>
                <w:rFonts w:ascii="仿宋_GB2312" w:hAnsi="仿宋_GB2312" w:cs="仿宋_GB2312" w:eastAsia="仿宋_GB2312"/>
                <w:sz w:val="24"/>
              </w:rPr>
              <w:t>40%;项目中期阶段性成果验收合格后支付合同总额40%;项目服务期限届满最终成果履约验收合格后支付合同总额20%。</w:t>
            </w:r>
          </w:p>
          <w:p>
            <w:pPr>
              <w:pStyle w:val="null3"/>
              <w:ind w:firstLine="480"/>
              <w:jc w:val="both"/>
            </w:pPr>
            <w:r>
              <w:rPr>
                <w:rFonts w:ascii="仿宋_GB2312" w:hAnsi="仿宋_GB2312" w:cs="仿宋_GB2312" w:eastAsia="仿宋_GB2312"/>
                <w:sz w:val="24"/>
              </w:rPr>
              <w:t>六、其他</w:t>
            </w:r>
          </w:p>
          <w:p>
            <w:pPr>
              <w:pStyle w:val="null3"/>
              <w:ind w:firstLine="480"/>
              <w:jc w:val="both"/>
            </w:pPr>
            <w:r>
              <w:rPr>
                <w:rFonts w:ascii="仿宋_GB2312" w:hAnsi="仿宋_GB2312" w:cs="仿宋_GB2312" w:eastAsia="仿宋_GB2312"/>
                <w:sz w:val="24"/>
              </w:rPr>
              <w:t>(一)质量验收标准或规范</w:t>
            </w:r>
          </w:p>
          <w:p>
            <w:pPr>
              <w:pStyle w:val="null3"/>
              <w:ind w:firstLine="480"/>
              <w:jc w:val="both"/>
            </w:pPr>
            <w:r>
              <w:rPr>
                <w:rFonts w:ascii="仿宋_GB2312" w:hAnsi="仿宋_GB2312" w:cs="仿宋_GB2312" w:eastAsia="仿宋_GB2312"/>
                <w:sz w:val="24"/>
              </w:rPr>
              <w:t>1.TD/T 1052-2017《标定地价规程》</w:t>
            </w:r>
          </w:p>
          <w:p>
            <w:pPr>
              <w:pStyle w:val="null3"/>
              <w:ind w:firstLine="480"/>
              <w:jc w:val="both"/>
            </w:pPr>
            <w:r>
              <w:rPr>
                <w:rFonts w:ascii="仿宋_GB2312" w:hAnsi="仿宋_GB2312" w:cs="仿宋_GB2312" w:eastAsia="仿宋_GB2312"/>
                <w:sz w:val="24"/>
              </w:rPr>
              <w:t>2.GB/T 18508-2014《城镇土地估价规程》</w:t>
            </w:r>
          </w:p>
          <w:p>
            <w:pPr>
              <w:pStyle w:val="null3"/>
              <w:ind w:firstLine="480"/>
              <w:jc w:val="both"/>
            </w:pPr>
            <w:r>
              <w:rPr>
                <w:rFonts w:ascii="仿宋_GB2312" w:hAnsi="仿宋_GB2312" w:cs="仿宋_GB2312" w:eastAsia="仿宋_GB2312"/>
                <w:sz w:val="24"/>
              </w:rPr>
              <w:t>3.《陕西省2025年度城镇标定地价体系更新技术指南》</w:t>
            </w:r>
          </w:p>
          <w:p>
            <w:pPr>
              <w:pStyle w:val="null3"/>
              <w:ind w:firstLine="480"/>
              <w:jc w:val="both"/>
            </w:pPr>
            <w:r>
              <w:rPr>
                <w:rFonts w:ascii="仿宋_GB2312" w:hAnsi="仿宋_GB2312" w:cs="仿宋_GB2312" w:eastAsia="仿宋_GB2312"/>
                <w:sz w:val="24"/>
              </w:rPr>
              <w:t>(二)违约责任</w:t>
            </w:r>
          </w:p>
          <w:p>
            <w:pPr>
              <w:pStyle w:val="null3"/>
            </w:pPr>
            <w:r>
              <w:rPr>
                <w:rFonts w:ascii="仿宋_GB2312" w:hAnsi="仿宋_GB2312" w:cs="仿宋_GB2312" w:eastAsia="仿宋_GB2312"/>
                <w:sz w:val="24"/>
              </w:rPr>
              <w:t>一是若供应商未能在双方约定的时间内出具相关成果，应在逾期后</w:t>
            </w:r>
            <w:r>
              <w:rPr>
                <w:rFonts w:ascii="仿宋_GB2312" w:hAnsi="仿宋_GB2312" w:cs="仿宋_GB2312" w:eastAsia="仿宋_GB2312"/>
                <w:sz w:val="24"/>
              </w:rPr>
              <w:t>5个自然日内完成，同时承担因此而造成的违约金，逾期超过10天的，采购人有权解除合同，供应商还应承担因延期造成的损失。二是供应商对涉及密级业务的技术资料、数据、保密信息等进行严格保密，一旦泄密，需承担相应法律责任。三是供应商未按要求履行义务，且经采购人要求仍拒不改正的，应按合同总价款的百分之二十向采购人支付违约金。</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自合同签订之日起至2026年12月15日止。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西安市域内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项目完成后，供应商向采购人申请验收，采购人组织相关人员对项目进行履约验收，验收依据为磋商文件、响应文件、合同文本、国家及省级相关技术标准和规范。验收合格后，采购人填写项目验收单。</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进度款，项目中期阶段性成果验收合格后，达到付款条件起10个工作日内，支付合同总金额的40.0%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进度款，项目服务期限届满最终成果履约验收合格后，达到付款条件起10个工作日内，支付合同总金额的20.0%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一是若供应商未能在双方约定的时间内出具相关成果，应在逾期后5个自然日内完成，同时承担因此而造成的违约金，逾期超过10天的，采购人有权解除合同，供应商还应承担因延期造成的损失。二是供应商对涉及密级业务的技术资料、数据、保密信息等进行严格保密，一旦泄密，需承担相应法律责任。三是供应商未按要求履行义务，且经采购人要求仍拒不改正的，应按合同总价款的百分之二十向采购人支付违约金。2、解决争议的方法：本合同履行过程中发生的争议，由甲、乙双方友好协商解决；协商无法达成一致的，依法向甲方（采购人）所在地人民法院提起诉讼。本争议解决条款为独立有效条款，本合同发生无效、变更、解除、终止等情形时，均不影响本条款的法律效力。</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顺利推进政府采购电子化交易平台试点应用工作，供应商需要在线提交所有通过电子化交易平台实施的政府采购项目的响应文件，供应商务必在响应文件提交截止时间30分钟前，通过项目电子化交易系统进行签到，如未进行签到，产生的一起后果由供应商自行承担。 2、磋商时无需提供纸质响应文件， 成交供应商在领取成交通知书时提供纸质响应文件三份（一正两副），纸质版文件须是电子化交易平台系统生成的响应文件。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 1、营业执照等主体资格证明文件：具有独立承担民事责任能力的法人、其他组织或自然人，提供合法有效的统一社会信用代码营业执照（事业单位提供事业单位法人证书，自然人应提供身份证）；并进行电子签章。 2、供应商提供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并进行电子签章。 3、税收缴纳证明：提供磋商截止时间前三个月内任意一个月份(磋商截止时间当月不计入)依法缴纳税收的相关凭据（时间以税款所属日期为准），凭据应有税务机关或代收机关的公章或业务专用章；依法免税或无须缴纳税收的供应商，应提供相应证明文件；或具有依法缴纳税收的诚信声明； 并进行电子签章。 4、社会保障资金缴纳证明：提供磋商截止时间前三个月内任意一个月份(磋商截止时间当月不计入)的社会保障资金缴存单据或社保机构开具的社会保险参保缴费情况证明；依法不需要缴纳社会保障资金的供应商应提供相关文件证明；或具有依法缴纳社会保障资金的缴纳记录的诚信声明；并进行电子签章。 5、能力书面声明：具有履行合同所必需的设备和专业技术能力的书面声明； 6、无重大违法记录：近3年内在经营活动中没有重大违法记录的书面声明；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参加的，须提供法定代表人身份证明及本人身份证复印件；法定代表人授权他人参加的，须提供法定代表人委托授权书、被授权代表的身份证复印件，被授权人参加的还需要提供在本单位缴纳的社保证明（近三个月内任意一个月，磋商截止时间当月不计入）；</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供应商须在省级及以上自然资源主管部门完成土地估价机构备案；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并加盖供应商公章（以开标当天代理机构核查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本项目不接受联合体磋商；（提供书面声明，加盖供应商公章）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响应文件中项目名称、项目编号与本项目一致</w:t>
            </w:r>
          </w:p>
        </w:tc>
        <w:tc>
          <w:tcPr>
            <w:tcW w:type="dxa" w:w="1661"/>
          </w:tcPr>
          <w:p>
            <w:pPr>
              <w:pStyle w:val="null3"/>
            </w:pPr>
            <w:r>
              <w:rPr>
                <w:rFonts w:ascii="仿宋_GB2312" w:hAnsi="仿宋_GB2312" w:cs="仿宋_GB2312" w:eastAsia="仿宋_GB2312"/>
              </w:rPr>
              <w:t>响应文件封面 供应商应提交的相关资格证明材料.docx 供应商廉洁自律承诺书.docx 中小企业声明函 残疾人福利性单位声明函 标的清单 服务内容及服务要求应答表.docx 商务应答表.docx 报价表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签章均符合采购文件要求，且无遗漏。</w:t>
            </w:r>
          </w:p>
        </w:tc>
        <w:tc>
          <w:tcPr>
            <w:tcW w:type="dxa" w:w="1661"/>
          </w:tcPr>
          <w:p>
            <w:pPr>
              <w:pStyle w:val="null3"/>
            </w:pPr>
            <w:r>
              <w:rPr>
                <w:rFonts w:ascii="仿宋_GB2312" w:hAnsi="仿宋_GB2312" w:cs="仿宋_GB2312" w:eastAsia="仿宋_GB2312"/>
              </w:rPr>
              <w:t>响应文件封面 供应商应提交的相关资格证明材料.docx 供应商廉洁自律承诺书.docx 中小企业声明函 残疾人福利性单位声明函 标的清单 服务内容及服务要求应答表.docx 商务应答表.docx 报价表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磋商报价不超过采购预算及最高限价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标的清单 报价表 服务方案.docx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其他无效磋商的情形</w:t>
            </w:r>
          </w:p>
        </w:tc>
        <w:tc>
          <w:tcPr>
            <w:tcW w:type="dxa" w:w="3322"/>
          </w:tcPr>
          <w:p>
            <w:pPr>
              <w:pStyle w:val="null3"/>
            </w:pPr>
            <w:r>
              <w:rPr>
                <w:rFonts w:ascii="仿宋_GB2312" w:hAnsi="仿宋_GB2312" w:cs="仿宋_GB2312" w:eastAsia="仿宋_GB2312"/>
              </w:rPr>
              <w:t>没有出现法律法规或磋商文件明确规定的其他被视为“无效磋商”的情形及未实质性响应磋商文件的情况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供应商应提交的相关资格证明材料.docx 供应商廉洁自律承诺书.docx 中小企业声明函 残疾人福利性单位声明函 标的清单 服务内容及服务要求应答表.docx 商务应答表.docx 报价表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一、评审内容：供应商针对本项目提供项目理解方案，包括但不限于：①对项目相关政策解读和分析；②对项目背景的分析。 二、评审标准：1.完善性：方案必须全面，对评审内容中的各项要求有详细阐述；2.可实施性：切合本项目实际情况，提出步骤清晰、合理的方案；3.针对性：方案能够紧扣项目实际情况，内容科学合理。 三、以上要求的内容均有描述且符合本项目实际需求的得6分。每缺一项内容扣3分，每有一项要求的方案内容有一处缺陷的扣0.5分(缺陷是指：对同一问题前后表述矛盾的，或逻辑错误的，或缺少关键节点，或涉及的规范及标准错误，或表述内容不完整，或不利于项目实施、不可能实现的情形等任意一种情形)，扣完为止；本项内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总体工作方案</w:t>
            </w:r>
          </w:p>
        </w:tc>
        <w:tc>
          <w:tcPr>
            <w:tcW w:type="dxa" w:w="2492"/>
          </w:tcPr>
          <w:p>
            <w:pPr>
              <w:pStyle w:val="null3"/>
            </w:pPr>
            <w:r>
              <w:rPr>
                <w:rFonts w:ascii="仿宋_GB2312" w:hAnsi="仿宋_GB2312" w:cs="仿宋_GB2312" w:eastAsia="仿宋_GB2312"/>
              </w:rPr>
              <w:t>一、评审内容：供应商根据本项目提供总体工作方案。包括但不限于：①总体工作目标及任务；②项目技术路线；③具体工作内容；④项目预期成果。 二、评审标准：1.完善性：方案必须全面，对评审内容中的各项要求有详细阐述；2.可实施性：切合本项目实际情况，提出步骤清晰、合理的方案；3.针对性：方案能够紧扣项目实际情况，内容科学合理。 三、以上要求的内容均有描述且符合本项目实际需求的得8分。每缺一项内容扣2分，每有一项要求的方案内容有一处缺陷的扣0.5分(缺陷是指：对同一问题前后表述矛盾的，或逻辑错误的，或缺少关键节点，或涉及的规范及标准错误，或表述内容不完整，或不利于项目实施、不可能实现的情形等任意一种情形)，扣完为止；本项内容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进度计划及保障措施</w:t>
            </w:r>
          </w:p>
        </w:tc>
        <w:tc>
          <w:tcPr>
            <w:tcW w:type="dxa" w:w="2492"/>
          </w:tcPr>
          <w:p>
            <w:pPr>
              <w:pStyle w:val="null3"/>
            </w:pPr>
            <w:r>
              <w:rPr>
                <w:rFonts w:ascii="仿宋_GB2312" w:hAnsi="仿宋_GB2312" w:cs="仿宋_GB2312" w:eastAsia="仿宋_GB2312"/>
              </w:rPr>
              <w:t>一、评审内容：供应商针对本项目提供相关的进度计划及保障措施方案。包括但不限于：①提供合理的工作进度计划及时间节点；②项目进度保障措施。 二、评审标准：1.完善性：方案必须全面，对评审内容中的各项要求有详细阐述；2.可实施性：切合本项目实际情况，提出步骤清晰、合理的方案；3.针对性：方案能够紧扣项目实际情况，内容科学合理。 三、以上要求的内容均有描述且符合本项目实际需求的得6分。每缺一项内容扣3分，每有一项要求的方案内容有一处缺陷的扣0.5分(缺陷是指：对同一问题前后表述矛盾的，或逻辑错误的，或缺少关键节点，或涉及的规范及标准错误，或表述内容不完整，或不利于项目实施、不可能实现的情形等任意一种情形)，扣完为止；本项内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一、评审内容：供应商提供针对本项目提供服务质量保障措施。包括但不限于：①项目成果质量保障；②技术保障；③人员及设备保障。 二、评审标准：1.完善性：方案必须全面，对评审内容中的各项要求有详细阐述；2.可实施性：切合本项目实际情况，提出步骤清晰、合理的方案；3.针对性：方案能够紧扣项目实际情况，内容科学合理。 三、以上要求的内容均有描述且符合本项目实际需求的得6分。每缺一项内容扣2分，每有一项要求的方案内容有一处缺陷的扣0.5分(缺陷是指：对同一问题前后表述矛盾的，或逻辑错误的，或缺少关键节点，或涉及的规范及标准错误，或表述内容不完整，或不利于项目实施、不可能实现的情形等任意一种情形)，扣完为止；本项内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保密与风控措施</w:t>
            </w:r>
          </w:p>
        </w:tc>
        <w:tc>
          <w:tcPr>
            <w:tcW w:type="dxa" w:w="2492"/>
          </w:tcPr>
          <w:p>
            <w:pPr>
              <w:pStyle w:val="null3"/>
            </w:pPr>
            <w:r>
              <w:rPr>
                <w:rFonts w:ascii="仿宋_GB2312" w:hAnsi="仿宋_GB2312" w:cs="仿宋_GB2312" w:eastAsia="仿宋_GB2312"/>
              </w:rPr>
              <w:t>一、评审内容：供应商针对本项目提供保密措施及风险控制措施。包括但不限于：①保密措施；②风险控制制度与应急预案。 二、评审标准：1.完善性：措施必须全面，对评审内容中的各项要求有详细阐述；2.可实施性：切合本项目实际情况，提出步骤清晰、合理的措施；3.针对性：措施能够紧扣项目实际情况，内容科学合理。 三、以上要求的内容均有描述且符合本项目实际需求的得4分。每缺一项内容扣2分，每有一项要求的方案内容有一处缺陷的扣0.2分(缺陷是指：对同一问题前后表述矛盾的，或逻辑错误的，或缺少关键节点，或涉及的规范及标准错误，或表述内容不完整，或不利于项目实施、不可能实现的情形等任意一种情形)，扣完为止；本项内容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一、评审内容：供应商提供针对本项目进行重难点分析并提出解决方案。包括但不限于：①项目实施过程中的重难点分析；②针对重难点问题提出解决方案。 二、评审标准：1.完善性：方案必须全面，对评审内容中的各项要求有详细阐述；2.可实施性：切合本项目实际情况，提出步骤清晰、合理的方案；3.针对性：方案能够紧扣项目实际情况，内容科学合理。 三、以上要求的内容均有描述且符合本项目实际需求的得6分。每缺一项内容扣3分，每有一项要求的方案内容有一处缺陷的扣0.5分(缺陷是指：对同一问题前后表述矛盾的，或逻辑错误的，或缺少关键节点，或涉及的规范及标准错误，或表述内容不完整，或不利于项目实施、不可能实现的情形等任意一种情形)，扣完为止；本项内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一、评审内容：供应商针对本项目提供服务承诺。包括但不限于：①技术质量承诺；②后期服务承诺。 二、评审标准：1.完善性：承诺必须全面，对评审内容中的各项要求有详细阐述；2.可实施性：切合本项目实际情况，提出步骤清晰、合理的承诺；3.针对性：承诺能够紧扣项目实际情况，内容科学合理。 三、以上要求的内容均有描述且符合本项目实际需求的得4分。每缺一项内容扣2分，每有一项要求的方案内容有一处缺陷的扣0.2分(缺陷是指：对同一问题前后表述矛盾的，或逻辑错误的，或缺少关键节点，或涉及的规范及标准错误，或表述内容不完整，或不利于项目实施、不可能实现的情形等任意一种情形)，扣完为止；本项内容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拟派项目负责人</w:t>
            </w:r>
          </w:p>
        </w:tc>
        <w:tc>
          <w:tcPr>
            <w:tcW w:type="dxa" w:w="2492"/>
          </w:tcPr>
          <w:p>
            <w:pPr>
              <w:pStyle w:val="null3"/>
            </w:pPr>
            <w:r>
              <w:rPr>
                <w:rFonts w:ascii="仿宋_GB2312" w:hAnsi="仿宋_GB2312" w:cs="仿宋_GB2312" w:eastAsia="仿宋_GB2312"/>
              </w:rPr>
              <w:t>1、项目负责人具有土地估价师或房地产估价师职业资格得5分； 2、项目负责人具备高级职称得5分，中级职称得2分； 注：项目负责人须具有在磋商响应截止前本单位缴纳6个月的社保证明。</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项目组人员配置</w:t>
            </w:r>
          </w:p>
        </w:tc>
        <w:tc>
          <w:tcPr>
            <w:tcW w:type="dxa" w:w="2492"/>
          </w:tcPr>
          <w:p>
            <w:pPr>
              <w:pStyle w:val="null3"/>
            </w:pPr>
            <w:r>
              <w:rPr>
                <w:rFonts w:ascii="仿宋_GB2312" w:hAnsi="仿宋_GB2312" w:cs="仿宋_GB2312" w:eastAsia="仿宋_GB2312"/>
              </w:rPr>
              <w:t>供应商针对本项目配备数量充足的人员（不含项目负责人） 1、配备人员不少于10名，在此基础上每增加一名项目组人员得1分，最高得5分； 2、项目组成员每具有一名土地估价师或房地产估价师得1分，最高得10分； 3、项目组成员每具有一名高级职称得1分，中级职称得0.5分，最高得5分； 注：项目组人员须具有在磋商响应截止前本单位缴纳6个月的社保证明。</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提供2023年6月至今承接过类似项目业绩，每提供一份得4分，最高得20分；未提供不得分。（以合同签订日期为准，提供项目合同复印件并加盖公章。）</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价格分采用低价优先法计算，即满足磋商文件要求且最终报价最低的价格为磋商基准价，其价格分为满分。其他供应商的价格分统一按照下列公式计算： 磋商报价得分=（磋商基准价/最终磋商报价）×10，超出预算的磋商报价在评审过程中按无效投标处理。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详见附件：供应商廉洁自律承诺书.docx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详见附件：技术服务合同.docx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