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版本号：ZCZX2026-CS-05020260520002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雁塔校区工科楼及其附体楼环境提升改造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ZCZX2026-CS-050</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雁塔校区工科楼及其附体楼环境提升改造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ZCZX2026-CS-050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雁塔校区工科楼及其附体楼环境提升改造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校雁塔校区工科楼及附体楼存在多处设施老化破损问题：公区走廊墙面出现起皮、脱落等破损情况，楼梯间地面及扶手也存在磨损、掉漆等问题；同时，卫生间存在局部地面漏水隐患，吊顶破损明显，内部隔断、门体、面盆、小便器挡板等设施均较为陈旧，整体环境整洁度与使用功能均受影响，亟需进行修缮更新。 根据学校改造计划要求，现针对其渗漏卫生间，进行整体维修处理。同步维修工科楼及其附体楼内部分公共区域墙面、顶面。质量标准执行国家、陕西省、西安市现行工程质量验评标准。施工场地满足施工需求。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采购包1（雁塔校区工科楼及其附体楼环境提升改造）：属于专门面向中小企业采购。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1、项目负责人资质和专业要求：参加本项目的供应商拟派项目经理具备合法有效的建筑工程专业二级以上（含二级）注册建造师资格和有效的安全生产考核合格证书（建安B证），在本单位注册且无在建工程。</w:t>
      </w:r>
    </w:p>
    <w:p>
      <w:pPr>
        <w:pStyle w:val="null3"/>
      </w:pPr>
      <w:r>
        <w:rPr>
          <w:rFonts w:ascii="仿宋_GB2312" w:hAnsi="仿宋_GB2312" w:cs="仿宋_GB2312" w:eastAsia="仿宋_GB2312"/>
        </w:rPr>
        <w:t>2、法定代表人授权书：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3、企业资质：具备建筑工程施工总承包三级及以上或建筑装修装饰工程专业承包二级及以上资质，有效期内的安全生产许可证。</w:t>
      </w:r>
    </w:p>
    <w:p>
      <w:pPr>
        <w:pStyle w:val="null3"/>
      </w:pPr>
      <w:r>
        <w:rPr>
          <w:rFonts w:ascii="仿宋_GB2312" w:hAnsi="仿宋_GB2312" w:cs="仿宋_GB2312" w:eastAsia="仿宋_GB2312"/>
        </w:rPr>
        <w:t>4、其他要求：供应商及拟派项目经理基本信息需在陕西省住房和城乡建设厅（http://js.shaanxi.gov.cn/）网站可查询。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029-82102221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 吴芳超 张斌 雷高峰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成交金额100万元（含）以上的项目代理服务费参照国家计委关于印发《招标代理服务收费管理暂行办法》的通知（计价格〔2002〕1980号）、《国家发展和改革委员会办公厅关于招标代理服务收费有关问题的通知》（发改办价格〔2003〕857号）文件规定标准75%计取。 2、本项目成交服务费按工程计取。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踏勘时间：2026-05-26 10:00:00</w:t>
            </w:r>
          </w:p>
          <w:p>
            <w:pPr>
              <w:pStyle w:val="null3"/>
              <w:ind w:firstLine="975"/>
            </w:pPr>
            <w:r>
              <w:rPr>
                <w:rFonts w:ascii="仿宋_GB2312" w:hAnsi="仿宋_GB2312" w:cs="仿宋_GB2312" w:eastAsia="仿宋_GB2312"/>
              </w:rPr>
              <w:t>踏勘地点：雁塔校区北院工科楼北侧大台阶</w:t>
            </w:r>
          </w:p>
          <w:p>
            <w:pPr>
              <w:pStyle w:val="null3"/>
              <w:ind w:firstLine="975"/>
            </w:pPr>
            <w:r>
              <w:rPr>
                <w:rFonts w:ascii="仿宋_GB2312" w:hAnsi="仿宋_GB2312" w:cs="仿宋_GB2312" w:eastAsia="仿宋_GB2312"/>
              </w:rPr>
              <w:t>联系人：姚海麟</w:t>
            </w:r>
          </w:p>
          <w:p>
            <w:pPr>
              <w:pStyle w:val="null3"/>
              <w:ind w:firstLine="975"/>
            </w:pPr>
            <w:r>
              <w:rPr>
                <w:rFonts w:ascii="仿宋_GB2312" w:hAnsi="仿宋_GB2312" w:cs="仿宋_GB2312" w:eastAsia="仿宋_GB2312"/>
              </w:rPr>
              <w:t>联系电话号码：15129395264</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一、按照磋商文件及合同约定；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1,557,000.00</w:t>
      </w:r>
    </w:p>
    <w:p>
      <w:pPr>
        <w:pStyle w:val="null3"/>
      </w:pPr>
      <w:r>
        <w:rPr>
          <w:rFonts w:ascii="仿宋_GB2312" w:hAnsi="仿宋_GB2312" w:cs="仿宋_GB2312" w:eastAsia="仿宋_GB2312"/>
        </w:rPr>
        <w:t>采购包最高限价（元）: 1,557,000.00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雁塔校区工科楼及其附体楼环境提升改造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1,557,000.00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标的名称：雁塔校区工科楼及其附体楼环境提升改造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jc w:val="left"/>
            </w:pP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项目概况：</w:t>
            </w:r>
          </w:p>
          <w:p>
            <w:pPr>
              <w:pStyle w:val="null3"/>
              <w:spacing w:after="165"/>
              <w:ind w:firstLine="400"/>
              <w:jc w:val="left"/>
            </w:pPr>
            <w:r>
              <w:rPr>
                <w:rFonts w:ascii="仿宋_GB2312" w:hAnsi="仿宋_GB2312" w:cs="仿宋_GB2312" w:eastAsia="仿宋_GB2312"/>
                <w:sz w:val="20"/>
              </w:rPr>
              <w:t>我校雁塔校区工科楼及附体楼存在多处设施老化破损问题：公区走廊墙面出现起皮、脱落等破损情况，楼梯间地面及扶手也存在磨损、掉漆等问题；同时，卫生间存在局部地面漏水隐患，吊顶破损明显，内部隔断、门体、面盆、小便器挡板等设施均较为陈旧，整体环境整洁度与使用功能均受影响，亟需进行修缮更新。</w:t>
            </w:r>
            <w:r>
              <w:rPr>
                <w:rFonts w:ascii="仿宋_GB2312" w:hAnsi="仿宋_GB2312" w:cs="仿宋_GB2312" w:eastAsia="仿宋_GB2312"/>
                <w:sz w:val="20"/>
              </w:rPr>
              <w:t>根据学校改造计划要求，现针对其渗漏卫生间，进行整体维修处理。同步维修工科楼及其附体楼内部分公共区域墙面、顶面。质量标准执行国家、陕西省、西安市现行工程质量验评标准。施工场地满足施工需求。</w:t>
            </w:r>
          </w:p>
          <w:p>
            <w:pPr>
              <w:pStyle w:val="null3"/>
              <w:spacing w:after="165"/>
              <w:jc w:val="left"/>
            </w:pP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采购内容及要求</w:t>
            </w:r>
          </w:p>
          <w:p>
            <w:pPr>
              <w:pStyle w:val="null3"/>
              <w:spacing w:after="165"/>
              <w:jc w:val="both"/>
            </w:pPr>
            <w:r>
              <w:rPr>
                <w:rFonts w:ascii="仿宋_GB2312" w:hAnsi="仿宋_GB2312" w:cs="仿宋_GB2312" w:eastAsia="仿宋_GB2312"/>
                <w:sz w:val="20"/>
                <w:b/>
              </w:rPr>
              <w:t>1、采购（招标）范围</w:t>
            </w:r>
          </w:p>
          <w:p>
            <w:pPr>
              <w:pStyle w:val="null3"/>
              <w:spacing w:after="165"/>
              <w:ind w:firstLine="402"/>
              <w:jc w:val="left"/>
            </w:pPr>
            <w:r>
              <w:rPr>
                <w:rFonts w:ascii="仿宋_GB2312" w:hAnsi="仿宋_GB2312" w:cs="仿宋_GB2312" w:eastAsia="仿宋_GB2312"/>
                <w:sz w:val="20"/>
                <w:b/>
              </w:rPr>
              <w:t>《工程量清单》</w:t>
            </w:r>
            <w:r>
              <w:rPr>
                <w:rFonts w:ascii="仿宋_GB2312" w:hAnsi="仿宋_GB2312" w:cs="仿宋_GB2312" w:eastAsia="仿宋_GB2312"/>
                <w:sz w:val="20"/>
                <w:b/>
              </w:rPr>
              <w:t>及</w:t>
            </w:r>
            <w:r>
              <w:rPr>
                <w:rFonts w:ascii="仿宋_GB2312" w:hAnsi="仿宋_GB2312" w:cs="仿宋_GB2312" w:eastAsia="仿宋_GB2312"/>
                <w:sz w:val="20"/>
                <w:b/>
              </w:rPr>
              <w:t>清单编制说明</w:t>
            </w:r>
            <w:r>
              <w:rPr>
                <w:rFonts w:ascii="仿宋_GB2312" w:hAnsi="仿宋_GB2312" w:cs="仿宋_GB2312" w:eastAsia="仿宋_GB2312"/>
                <w:sz w:val="20"/>
                <w:b/>
              </w:rPr>
              <w:t>：详见</w:t>
            </w:r>
            <w:r>
              <w:rPr>
                <w:rFonts w:ascii="仿宋_GB2312" w:hAnsi="仿宋_GB2312" w:cs="仿宋_GB2312" w:eastAsia="仿宋_GB2312"/>
                <w:sz w:val="20"/>
                <w:b/>
              </w:rPr>
              <w:t>附件</w:t>
            </w:r>
          </w:p>
          <w:p>
            <w:pPr>
              <w:pStyle w:val="null3"/>
              <w:spacing w:after="165"/>
              <w:jc w:val="left"/>
            </w:pPr>
            <w:r>
              <w:rPr>
                <w:rFonts w:ascii="仿宋_GB2312" w:hAnsi="仿宋_GB2312" w:cs="仿宋_GB2312" w:eastAsia="仿宋_GB2312"/>
                <w:sz w:val="20"/>
                <w:b/>
              </w:rPr>
              <w:t>2、</w:t>
            </w:r>
            <w:r>
              <w:rPr>
                <w:rFonts w:ascii="仿宋_GB2312" w:hAnsi="仿宋_GB2312" w:cs="仿宋_GB2312" w:eastAsia="仿宋_GB2312"/>
                <w:sz w:val="20"/>
                <w:b/>
              </w:rPr>
              <w:t>主要材料规格型号及技术参数要求</w:t>
            </w:r>
          </w:p>
          <w:tbl>
            <w:tblPr>
              <w:tblBorders>
                <w:top w:val="none" w:color="000000" w:sz="4"/>
                <w:left w:val="none" w:color="000000" w:sz="4"/>
                <w:bottom w:val="none" w:color="000000" w:sz="4"/>
                <w:right w:val="none" w:color="000000" w:sz="4"/>
                <w:insideH w:val="none"/>
                <w:insideV w:val="none"/>
              </w:tblBorders>
            </w:tblPr>
            <w:tblGrid>
              <w:gridCol w:w="273"/>
              <w:gridCol w:w="298"/>
              <w:gridCol w:w="471"/>
              <w:gridCol w:w="1511"/>
            </w:tblGrid>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类别</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材料名称</w:t>
                  </w:r>
                </w:p>
              </w:tc>
              <w:tc>
                <w:tcPr>
                  <w:tcW w:type="dxa" w:w="1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参数、标准、要求</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装饰装修</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乳胶漆</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乳胶漆挥发性有机化合物含量（60°光泽≤10）≤50g/L</w:t>
                  </w:r>
                </w:p>
                <w:p>
                  <w:pPr>
                    <w:pStyle w:val="null3"/>
                    <w:jc w:val="left"/>
                  </w:pPr>
                  <w:r>
                    <w:rPr>
                      <w:rFonts w:ascii="仿宋_GB2312" w:hAnsi="仿宋_GB2312" w:cs="仿宋_GB2312" w:eastAsia="仿宋_GB2312"/>
                      <w:sz w:val="20"/>
                    </w:rPr>
                    <w:t>2. 乳胶漆挥发性有机化合物含量（60°光泽＞10）≤80g/L</w:t>
                  </w:r>
                </w:p>
                <w:p>
                  <w:pPr>
                    <w:pStyle w:val="null3"/>
                    <w:jc w:val="left"/>
                  </w:pPr>
                  <w:r>
                    <w:rPr>
                      <w:rFonts w:ascii="仿宋_GB2312" w:hAnsi="仿宋_GB2312" w:cs="仿宋_GB2312" w:eastAsia="仿宋_GB2312"/>
                      <w:sz w:val="20"/>
                    </w:rPr>
                    <w:t>3. 乳胶漆甲醛含量（乙酰丙酮法）≤30mg/kg</w:t>
                  </w:r>
                </w:p>
                <w:p>
                  <w:pPr>
                    <w:pStyle w:val="null3"/>
                    <w:jc w:val="left"/>
                  </w:pPr>
                  <w:r>
                    <w:rPr>
                      <w:rFonts w:ascii="仿宋_GB2312" w:hAnsi="仿宋_GB2312" w:cs="仿宋_GB2312" w:eastAsia="仿宋_GB2312"/>
                      <w:sz w:val="20"/>
                    </w:rPr>
                    <w:t>4. 乳胶漆苯、甲苯、乙苯、二甲苯总和≤80mg/kg</w:t>
                  </w:r>
                </w:p>
                <w:p>
                  <w:pPr>
                    <w:pStyle w:val="null3"/>
                    <w:jc w:val="left"/>
                  </w:pPr>
                  <w:r>
                    <w:rPr>
                      <w:rFonts w:ascii="仿宋_GB2312" w:hAnsi="仿宋_GB2312" w:cs="仿宋_GB2312" w:eastAsia="仿宋_GB2312"/>
                      <w:sz w:val="20"/>
                    </w:rPr>
                    <w:t>5.耐洗刷性：≥6000 次</w:t>
                  </w:r>
                </w:p>
                <w:p>
                  <w:pPr>
                    <w:pStyle w:val="null3"/>
                    <w:jc w:val="left"/>
                  </w:pPr>
                  <w:r>
                    <w:rPr>
                      <w:rFonts w:ascii="仿宋_GB2312" w:hAnsi="仿宋_GB2312" w:cs="仿宋_GB2312" w:eastAsia="仿宋_GB2312"/>
                      <w:sz w:val="20"/>
                    </w:rPr>
                    <w:t>非工程款竹炭净味漆，</w:t>
                  </w:r>
                  <w:r>
                    <w:rPr>
                      <w:rFonts w:ascii="仿宋_GB2312" w:hAnsi="仿宋_GB2312" w:cs="仿宋_GB2312" w:eastAsia="仿宋_GB2312"/>
                      <w:sz w:val="20"/>
                    </w:rPr>
                    <w:t>甲醛净化效率</w:t>
                  </w:r>
                  <w:r>
                    <w:rPr>
                      <w:rFonts w:ascii="仿宋_GB2312" w:hAnsi="仿宋_GB2312" w:cs="仿宋_GB2312" w:eastAsia="仿宋_GB2312"/>
                      <w:sz w:val="20"/>
                    </w:rPr>
                    <w:t>≥80%，竹炭颗粒细度≤50纳米，VOC≤10g/L，符合GB18582-2020标准，未添加香精、溶剂，游离甲醛≤5mg/kg，通过CNAS认证，</w:t>
                  </w:r>
                  <w:r>
                    <w:rPr>
                      <w:rFonts w:ascii="仿宋_GB2312" w:hAnsi="仿宋_GB2312" w:cs="仿宋_GB2312" w:eastAsia="仿宋_GB2312"/>
                      <w:sz w:val="20"/>
                    </w:rPr>
                    <w:t>节能环保产品，符合本项目工程量清单、采购文件，符合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墙地瓷砖</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优等品，通过</w:t>
                  </w:r>
                  <w:r>
                    <w:rPr>
                      <w:rFonts w:ascii="仿宋_GB2312" w:hAnsi="仿宋_GB2312" w:cs="仿宋_GB2312" w:eastAsia="仿宋_GB2312"/>
                      <w:sz w:val="20"/>
                    </w:rPr>
                    <w:t>3C认证，执行标准GB/T4100-2015附录G，干压陶瓷E≤0.5%BIa类M，吸水率≤0.5%，摩擦系数≥0.5，符合GB6566-2010建筑材料放射性核素限量中放射性水平A类。</w:t>
                  </w:r>
                  <w:r>
                    <w:rPr>
                      <w:rFonts w:ascii="仿宋_GB2312" w:hAnsi="仿宋_GB2312" w:cs="仿宋_GB2312" w:eastAsia="仿宋_GB2312"/>
                      <w:sz w:val="20"/>
                    </w:rPr>
                    <w:t>产品内照射指数</w:t>
                  </w:r>
                  <w:r>
                    <w:rPr>
                      <w:rFonts w:ascii="仿宋_GB2312" w:hAnsi="仿宋_GB2312" w:cs="仿宋_GB2312" w:eastAsia="仿宋_GB2312"/>
                      <w:sz w:val="20"/>
                    </w:rPr>
                    <w:t>IRa≤0.9</w:t>
                  </w:r>
                  <w:r>
                    <w:rPr>
                      <w:rFonts w:ascii="仿宋_GB2312" w:hAnsi="仿宋_GB2312" w:cs="仿宋_GB2312" w:eastAsia="仿宋_GB2312"/>
                      <w:sz w:val="20"/>
                    </w:rPr>
                    <w:t>，</w:t>
                  </w:r>
                  <w:r>
                    <w:rPr>
                      <w:rFonts w:ascii="仿宋_GB2312" w:hAnsi="仿宋_GB2312" w:cs="仿宋_GB2312" w:eastAsia="仿宋_GB2312"/>
                      <w:sz w:val="20"/>
                    </w:rPr>
                    <w:t>外照射指数</w:t>
                  </w:r>
                  <w:r>
                    <w:rPr>
                      <w:rFonts w:ascii="仿宋_GB2312" w:hAnsi="仿宋_GB2312" w:cs="仿宋_GB2312" w:eastAsia="仿宋_GB2312"/>
                      <w:sz w:val="20"/>
                    </w:rPr>
                    <w:t>Ir≤1.2</w:t>
                  </w:r>
                  <w:r>
                    <w:rPr>
                      <w:rFonts w:ascii="仿宋_GB2312" w:hAnsi="仿宋_GB2312" w:cs="仿宋_GB2312" w:eastAsia="仿宋_GB2312"/>
                      <w:sz w:val="20"/>
                    </w:rPr>
                    <w:t>，</w:t>
                  </w:r>
                  <w:r>
                    <w:rPr>
                      <w:rFonts w:ascii="仿宋_GB2312" w:hAnsi="仿宋_GB2312" w:cs="仿宋_GB2312" w:eastAsia="仿宋_GB2312"/>
                      <w:sz w:val="20"/>
                    </w:rPr>
                    <w:t>耐污染性</w:t>
                  </w:r>
                  <w:r>
                    <w:rPr>
                      <w:rFonts w:ascii="仿宋_GB2312" w:hAnsi="仿宋_GB2312" w:cs="仿宋_GB2312" w:eastAsia="仿宋_GB2312"/>
                      <w:sz w:val="20"/>
                    </w:rPr>
                    <w:t>≥3 级</w:t>
                  </w:r>
                  <w:r>
                    <w:rPr>
                      <w:rFonts w:ascii="仿宋_GB2312" w:hAnsi="仿宋_GB2312" w:cs="仿宋_GB2312" w:eastAsia="仿宋_GB2312"/>
                      <w:sz w:val="20"/>
                    </w:rPr>
                    <w:t>，</w:t>
                  </w:r>
                  <w:r>
                    <w:rPr>
                      <w:rFonts w:ascii="仿宋_GB2312" w:hAnsi="仿宋_GB2312" w:cs="仿宋_GB2312" w:eastAsia="仿宋_GB2312"/>
                      <w:sz w:val="20"/>
                    </w:rPr>
                    <w:t>节能环保产品，符合本项目工程量清单、采购文件，符合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1.2mm厚304哑光不锈钢,节能环保产品，符合本项目工程量清单、采购文件，符合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人造石</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18mm厚，防</w:t>
                  </w:r>
                  <w:r>
                    <w:rPr>
                      <w:rFonts w:ascii="仿宋_GB2312" w:hAnsi="仿宋_GB2312" w:cs="仿宋_GB2312" w:eastAsia="仿宋_GB2312"/>
                      <w:sz w:val="20"/>
                    </w:rPr>
                    <w:t>水、防渗、防霉，抗压</w:t>
                  </w:r>
                  <w:r>
                    <w:rPr>
                      <w:rFonts w:ascii="仿宋_GB2312" w:hAnsi="仿宋_GB2312" w:cs="仿宋_GB2312" w:eastAsia="仿宋_GB2312"/>
                      <w:sz w:val="20"/>
                    </w:rPr>
                    <w:t>≥160MPa，抗冲击≥15kg/㎡，弯曲强度≥40MPa，耐磨≤0.02g/cm</w:t>
                  </w:r>
                  <w:r>
                    <w:rPr>
                      <w:rFonts w:ascii="仿宋_GB2312" w:hAnsi="仿宋_GB2312" w:cs="仿宋_GB2312" w:eastAsia="仿宋_GB2312"/>
                      <w:sz w:val="20"/>
                      <w:vertAlign w:val="superscript"/>
                    </w:rPr>
                    <w:t>2</w:t>
                  </w:r>
                  <w:r>
                    <w:rPr>
                      <w:rFonts w:ascii="仿宋_GB2312" w:hAnsi="仿宋_GB2312" w:cs="仿宋_GB2312" w:eastAsia="仿宋_GB2312"/>
                      <w:sz w:val="20"/>
                    </w:rPr>
                    <w:t>，抗菌率</w:t>
                  </w:r>
                  <w:r>
                    <w:rPr>
                      <w:rFonts w:ascii="仿宋_GB2312" w:hAnsi="仿宋_GB2312" w:cs="仿宋_GB2312" w:eastAsia="仿宋_GB2312"/>
                      <w:sz w:val="20"/>
                    </w:rPr>
                    <w:t>≥99%，耐温差-20℃~120℃，耐酸碱10%盐酸，耐污≥4级，甲醛符合GB18580-2017，E0级≤0.05mg/m³，VOC含量≤100g/L，放射性核素内照≤1.0外照≤1.3，符合</w:t>
                  </w:r>
                  <w:r>
                    <w:rPr>
                      <w:rFonts w:ascii="仿宋_GB2312" w:hAnsi="仿宋_GB2312" w:cs="仿宋_GB2312" w:eastAsia="仿宋_GB2312"/>
                      <w:sz w:val="20"/>
                    </w:rPr>
                    <w:t>国家相关标准、规范</w:t>
                  </w:r>
                  <w:r>
                    <w:rPr>
                      <w:rFonts w:ascii="仿宋_GB2312" w:hAnsi="仿宋_GB2312" w:cs="仿宋_GB2312" w:eastAsia="仿宋_GB2312"/>
                      <w:sz w:val="20"/>
                    </w:rPr>
                    <w:t>，</w:t>
                  </w:r>
                  <w:r>
                    <w:rPr>
                      <w:rFonts w:ascii="仿宋_GB2312" w:hAnsi="仿宋_GB2312" w:cs="仿宋_GB2312" w:eastAsia="仿宋_GB2312"/>
                      <w:sz w:val="20"/>
                    </w:rPr>
                    <w:t>满足设计需求</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阻燃木工板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15mm厚，节能环保产品，符合本项目工程量清单、采购文件，符合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铝扣板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1.2mm厚，节能环保产品，符合</w:t>
                  </w:r>
                  <w:r>
                    <w:rPr>
                      <w:rFonts w:ascii="仿宋_GB2312" w:hAnsi="仿宋_GB2312" w:cs="仿宋_GB2312" w:eastAsia="仿宋_GB2312"/>
                      <w:sz w:val="20"/>
                    </w:rPr>
                    <w:t>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石膏板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9/12mm厚节能环保产品，符合本项目工程量清单、采购文件，符合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轻钢龙骨</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节能环保产品，符合本项目工程量清单、采购文件，符合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钢化白浮法玻璃，</w:t>
                  </w:r>
                  <w:r>
                    <w:rPr>
                      <w:rFonts w:ascii="仿宋_GB2312" w:hAnsi="仿宋_GB2312" w:cs="仿宋_GB2312" w:eastAsia="仿宋_GB2312"/>
                      <w:sz w:val="20"/>
                    </w:rPr>
                    <w:t>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玻璃胶</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1.单位产品总挥发性有机物（TVOC）含量≤80g/kg</w:t>
                  </w:r>
                </w:p>
                <w:p>
                  <w:pPr>
                    <w:pStyle w:val="null3"/>
                    <w:jc w:val="left"/>
                  </w:pPr>
                  <w:r>
                    <w:rPr>
                      <w:rFonts w:ascii="仿宋_GB2312" w:hAnsi="仿宋_GB2312" w:cs="仿宋_GB2312" w:eastAsia="仿宋_GB2312"/>
                      <w:sz w:val="20"/>
                    </w:rPr>
                    <w:t>2.烷烃增塑剂（红外光谱）不得检出</w:t>
                  </w:r>
                </w:p>
                <w:p>
                  <w:pPr>
                    <w:pStyle w:val="null3"/>
                    <w:jc w:val="left"/>
                  </w:pPr>
                  <w:r>
                    <w:rPr>
                      <w:rFonts w:ascii="仿宋_GB2312" w:hAnsi="仿宋_GB2312" w:cs="仿宋_GB2312" w:eastAsia="仿宋_GB2312"/>
                      <w:sz w:val="20"/>
                    </w:rPr>
                    <w:t>3. 密封胶分级达到 20HM、25HM、20LM</w:t>
                  </w:r>
                </w:p>
                <w:p>
                  <w:pPr>
                    <w:pStyle w:val="null3"/>
                    <w:jc w:val="left"/>
                  </w:pPr>
                  <w:r>
                    <w:rPr>
                      <w:rFonts w:ascii="仿宋_GB2312" w:hAnsi="仿宋_GB2312" w:cs="仿宋_GB2312" w:eastAsia="仿宋_GB2312"/>
                      <w:sz w:val="20"/>
                    </w:rPr>
                    <w:t>4.符合《胶粘剂中有害物质限量》</w:t>
                  </w:r>
                  <w:r>
                    <w:rPr>
                      <w:rFonts w:ascii="仿宋_GB2312" w:hAnsi="仿宋_GB2312" w:cs="仿宋_GB2312" w:eastAsia="仿宋_GB2312"/>
                      <w:sz w:val="20"/>
                      <w:color w:val="000000"/>
                    </w:rPr>
                    <w:t>GB</w:t>
                  </w:r>
                  <w:r>
                    <w:rPr>
                      <w:rFonts w:ascii="仿宋_GB2312" w:hAnsi="仿宋_GB2312" w:cs="仿宋_GB2312" w:eastAsia="仿宋_GB2312"/>
                      <w:sz w:val="20"/>
                    </w:rPr>
                    <w:t xml:space="preserve"> </w:t>
                  </w:r>
                  <w:r>
                    <w:rPr>
                      <w:rFonts w:ascii="仿宋_GB2312" w:hAnsi="仿宋_GB2312" w:cs="仿宋_GB2312" w:eastAsia="仿宋_GB2312"/>
                      <w:sz w:val="20"/>
                    </w:rPr>
                    <w:t>18583-2008</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结构胶</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1.单位产品总挥发性有机物（TVOC）含量≤80g/kg</w:t>
                  </w:r>
                </w:p>
                <w:p>
                  <w:pPr>
                    <w:pStyle w:val="null3"/>
                    <w:jc w:val="left"/>
                  </w:pPr>
                  <w:r>
                    <w:rPr>
                      <w:rFonts w:ascii="仿宋_GB2312" w:hAnsi="仿宋_GB2312" w:cs="仿宋_GB2312" w:eastAsia="仿宋_GB2312"/>
                      <w:sz w:val="20"/>
                    </w:rPr>
                    <w:t>2.烷烃增塑剂（红外光谱）不得检出</w:t>
                  </w:r>
                </w:p>
                <w:p>
                  <w:pPr>
                    <w:pStyle w:val="null3"/>
                    <w:jc w:val="left"/>
                  </w:pPr>
                  <w:r>
                    <w:rPr>
                      <w:rFonts w:ascii="仿宋_GB2312" w:hAnsi="仿宋_GB2312" w:cs="仿宋_GB2312" w:eastAsia="仿宋_GB2312"/>
                      <w:sz w:val="20"/>
                    </w:rPr>
                    <w:t>3.23℃拉伸粘结强度标准值≥0.6MPa</w:t>
                  </w:r>
                </w:p>
                <w:p>
                  <w:pPr>
                    <w:pStyle w:val="null3"/>
                    <w:jc w:val="left"/>
                  </w:pPr>
                  <w:r>
                    <w:rPr>
                      <w:rFonts w:ascii="仿宋_GB2312" w:hAnsi="仿宋_GB2312" w:cs="仿宋_GB2312" w:eastAsia="仿宋_GB2312"/>
                      <w:sz w:val="20"/>
                    </w:rPr>
                    <w:t>4.粘结破坏面积≤5%</w:t>
                  </w:r>
                </w:p>
                <w:p>
                  <w:pPr>
                    <w:pStyle w:val="null3"/>
                    <w:jc w:val="left"/>
                  </w:pPr>
                  <w:r>
                    <w:rPr>
                      <w:rFonts w:ascii="仿宋_GB2312" w:hAnsi="仿宋_GB2312" w:cs="仿宋_GB2312" w:eastAsia="仿宋_GB2312"/>
                      <w:sz w:val="20"/>
                    </w:rPr>
                    <w:t>4.符合《胶粘剂中有害物质限量》</w:t>
                  </w:r>
                  <w:r>
                    <w:rPr>
                      <w:rFonts w:ascii="仿宋_GB2312" w:hAnsi="仿宋_GB2312" w:cs="仿宋_GB2312" w:eastAsia="仿宋_GB2312"/>
                      <w:sz w:val="20"/>
                      <w:color w:val="000000"/>
                    </w:rPr>
                    <w:t>GB</w:t>
                  </w:r>
                  <w:r>
                    <w:rPr>
                      <w:rFonts w:ascii="仿宋_GB2312" w:hAnsi="仿宋_GB2312" w:cs="仿宋_GB2312" w:eastAsia="仿宋_GB2312"/>
                      <w:sz w:val="20"/>
                    </w:rPr>
                    <w:t xml:space="preserve"> </w:t>
                  </w:r>
                  <w:r>
                    <w:rPr>
                      <w:rFonts w:ascii="仿宋_GB2312" w:hAnsi="仿宋_GB2312" w:cs="仿宋_GB2312" w:eastAsia="仿宋_GB2312"/>
                      <w:sz w:val="20"/>
                    </w:rPr>
                    <w:t>18583-2008</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抗倍特板隔断</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防水防潮，</w:t>
                  </w:r>
                  <w:r>
                    <w:rPr>
                      <w:rFonts w:ascii="仿宋_GB2312" w:hAnsi="仿宋_GB2312" w:cs="仿宋_GB2312" w:eastAsia="仿宋_GB2312"/>
                      <w:sz w:val="20"/>
                    </w:rPr>
                    <w:t>符合国家相关标准、规范。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防水涂料</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水泥基渗透结晶型防水涂料</w:t>
                  </w:r>
                  <w:r>
                    <w:rPr>
                      <w:rFonts w:ascii="仿宋_GB2312" w:hAnsi="仿宋_GB2312" w:cs="仿宋_GB2312" w:eastAsia="仿宋_GB2312"/>
                      <w:sz w:val="20"/>
                    </w:rPr>
                    <w:t>、</w:t>
                  </w:r>
                  <w:r>
                    <w:rPr>
                      <w:rFonts w:ascii="仿宋_GB2312" w:hAnsi="仿宋_GB2312" w:cs="仿宋_GB2312" w:eastAsia="仿宋_GB2312"/>
                      <w:sz w:val="20"/>
                    </w:rPr>
                    <w:t>聚合物水泥防水涂料</w:t>
                  </w:r>
                  <w:r>
                    <w:rPr>
                      <w:rFonts w:ascii="仿宋_GB2312" w:hAnsi="仿宋_GB2312" w:cs="仿宋_GB2312" w:eastAsia="仿宋_GB2312"/>
                      <w:sz w:val="20"/>
                    </w:rPr>
                    <w:t>、</w:t>
                  </w:r>
                  <w:r>
                    <w:rPr>
                      <w:rFonts w:ascii="仿宋_GB2312" w:hAnsi="仿宋_GB2312" w:cs="仿宋_GB2312" w:eastAsia="仿宋_GB2312"/>
                      <w:sz w:val="20"/>
                    </w:rPr>
                    <w:t>聚氨酯防水涂料</w:t>
                  </w:r>
                  <w:r>
                    <w:rPr>
                      <w:rFonts w:ascii="仿宋_GB2312" w:hAnsi="仿宋_GB2312" w:cs="仿宋_GB2312" w:eastAsia="仿宋_GB2312"/>
                      <w:sz w:val="20"/>
                    </w:rPr>
                    <w:t>,</w:t>
                  </w:r>
                  <w:r>
                    <w:rPr>
                      <w:rFonts w:ascii="仿宋_GB2312" w:hAnsi="仿宋_GB2312" w:cs="仿宋_GB2312" w:eastAsia="仿宋_GB2312"/>
                      <w:sz w:val="20"/>
                    </w:rPr>
                    <w:t>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电气</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配电箱</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1.符合</w:t>
                  </w:r>
                  <w:r>
                    <w:rPr>
                      <w:rFonts w:ascii="仿宋_GB2312" w:hAnsi="仿宋_GB2312" w:cs="仿宋_GB2312" w:eastAsia="仿宋_GB2312"/>
                      <w:sz w:val="20"/>
                    </w:rPr>
                    <w:t>本项目工程量清单、采购文件，符合</w:t>
                  </w:r>
                  <w:r>
                    <w:rPr>
                      <w:rFonts w:ascii="仿宋_GB2312" w:hAnsi="仿宋_GB2312" w:cs="仿宋_GB2312" w:eastAsia="仿宋_GB2312"/>
                      <w:sz w:val="20"/>
                    </w:rPr>
                    <w:t>国家相关标准、规范</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2.箱体、元器件安装底板均采用大型钢厂冷轧钢板。配电箱箱体为喷塑，颜色为电脑灰色；安装底板应镀锌；</w:t>
                  </w:r>
                </w:p>
                <w:p>
                  <w:pPr>
                    <w:pStyle w:val="null3"/>
                    <w:jc w:val="left"/>
                  </w:pPr>
                  <w:r>
                    <w:rPr>
                      <w:rFonts w:ascii="仿宋_GB2312" w:hAnsi="仿宋_GB2312" w:cs="仿宋_GB2312" w:eastAsia="仿宋_GB2312"/>
                      <w:sz w:val="20"/>
                      <w:color w:val="000000"/>
                    </w:rPr>
                    <w:t>3.箱内布线要分色；一次线、铜排、辅料均采用合格产品。</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rPr>
                    <w:t>工程量清单</w:t>
                  </w:r>
                  <w:r>
                    <w:rPr>
                      <w:rFonts w:ascii="仿宋_GB2312" w:hAnsi="仿宋_GB2312" w:cs="仿宋_GB2312" w:eastAsia="仿宋_GB2312"/>
                      <w:sz w:val="20"/>
                      <w:color w:val="000000"/>
                    </w:rPr>
                    <w:t>中箱体规格尺寸仅供参考，报价不再因箱体尺寸变化而变化</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采用低烟低毒阻燃型线缆、矿物绝缘类不燃性电缆等，且导体材料采用铜芯</w:t>
                  </w:r>
                  <w:r>
                    <w:rPr>
                      <w:rFonts w:ascii="仿宋_GB2312" w:hAnsi="仿宋_GB2312" w:cs="仿宋_GB2312" w:eastAsia="仿宋_GB2312"/>
                      <w:sz w:val="20"/>
                      <w:color w:val="000000"/>
                    </w:rPr>
                    <w:t>,中国机械工业百强工厂产品，</w:t>
                  </w:r>
                  <w:r>
                    <w:rPr>
                      <w:rFonts w:ascii="仿宋_GB2312" w:hAnsi="仿宋_GB2312" w:cs="仿宋_GB2312" w:eastAsia="仿宋_GB2312"/>
                      <w:sz w:val="20"/>
                    </w:rPr>
                    <w:t>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线管</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节能环保产品，符合本项目工程量清单、采购文件，符合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开关</w:t>
                  </w:r>
                  <w:r>
                    <w:rPr>
                      <w:rFonts w:ascii="仿宋_GB2312" w:hAnsi="仿宋_GB2312" w:cs="仿宋_GB2312" w:eastAsia="仿宋_GB2312"/>
                      <w:sz w:val="20"/>
                    </w:rPr>
                    <w:t>/插座</w:t>
                  </w:r>
                  <w:r>
                    <w:rPr>
                      <w:rFonts w:ascii="仿宋_GB2312" w:hAnsi="仿宋_GB2312" w:cs="仿宋_GB2312" w:eastAsia="仿宋_GB2312"/>
                      <w:sz w:val="20"/>
                    </w:rPr>
                    <w:t>面板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220V，64A/32A/16A/10A等，</w:t>
                  </w:r>
                  <w:r>
                    <w:rPr>
                      <w:rFonts w:ascii="仿宋_GB2312" w:hAnsi="仿宋_GB2312" w:cs="仿宋_GB2312" w:eastAsia="仿宋_GB2312"/>
                      <w:sz w:val="20"/>
                    </w:rPr>
                    <w:t>节能环保产品，符合本项目工程量清单、采购文件，符合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空气开关</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16/32A等，带漏电保护。节能环保产品，符合本项目工程量清单、采购文件，符合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照明灯具</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参数详见工程量清单，符合本项目工程量清单、采购文件，符合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双绞线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UTP6，需现场通过校方百米传输测试，</w:t>
                  </w:r>
                  <w:r>
                    <w:rPr>
                      <w:rFonts w:ascii="仿宋_GB2312" w:hAnsi="仿宋_GB2312" w:cs="仿宋_GB2312" w:eastAsia="仿宋_GB2312"/>
                      <w:sz w:val="20"/>
                    </w:rPr>
                    <w:t>符合本项目工程量清单、采购文件，符合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给排水</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PVC</w:t>
                  </w:r>
                  <w:r>
                    <w:rPr>
                      <w:rFonts w:ascii="仿宋_GB2312" w:hAnsi="仿宋_GB2312" w:cs="仿宋_GB2312" w:eastAsia="仿宋_GB2312"/>
                      <w:sz w:val="20"/>
                    </w:rPr>
                    <w:t>水管</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1.铅限量≤100mg/kg（适用于聚氯乙烯（PVC）类塑料管材管件）；</w:t>
                  </w:r>
                </w:p>
                <w:p>
                  <w:pPr>
                    <w:pStyle w:val="null3"/>
                    <w:jc w:val="left"/>
                  </w:pPr>
                  <w:r>
                    <w:rPr>
                      <w:rFonts w:ascii="仿宋_GB2312" w:hAnsi="仿宋_GB2312" w:cs="仿宋_GB2312" w:eastAsia="仿宋_GB2312"/>
                      <w:sz w:val="20"/>
                    </w:rPr>
                    <w:t>2.密度＜1450kg/m</w:t>
                  </w:r>
                  <w:r>
                    <w:rPr>
                      <w:rFonts w:ascii="仿宋_GB2312" w:hAnsi="仿宋_GB2312" w:cs="仿宋_GB2312" w:eastAsia="仿宋_GB2312"/>
                      <w:sz w:val="20"/>
                      <w:vertAlign w:val="superscript"/>
                    </w:rPr>
                    <w:t>3</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3.内排水管道系统噪声＜48dB（适用于聚氯乙烯（PVC）类塑料管材管件）。</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洁具</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全部洁具的用水效率等级达到</w:t>
                  </w:r>
                  <w:r>
                    <w:rPr>
                      <w:rFonts w:ascii="仿宋_GB2312" w:hAnsi="仿宋_GB2312" w:cs="仿宋_GB2312" w:eastAsia="仿宋_GB2312"/>
                      <w:sz w:val="20"/>
                    </w:rPr>
                    <w:t>2 级（依据 GB 28377、GB 28379、GB 30717、GB/T 50378）</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洗手盆</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成品台盆含柜体，</w:t>
                  </w:r>
                  <w:r>
                    <w:rPr>
                      <w:rFonts w:ascii="仿宋_GB2312" w:hAnsi="仿宋_GB2312" w:cs="仿宋_GB2312" w:eastAsia="仿宋_GB2312"/>
                      <w:sz w:val="20"/>
                    </w:rPr>
                    <w:t>含柜体、下水线、五金件、把手等</w:t>
                  </w:r>
                  <w:r>
                    <w:rPr>
                      <w:rFonts w:ascii="仿宋_GB2312" w:hAnsi="仿宋_GB2312" w:cs="仿宋_GB2312" w:eastAsia="仿宋_GB2312"/>
                      <w:sz w:val="20"/>
                    </w:rPr>
                    <w:t>；</w:t>
                  </w:r>
                  <w:r>
                    <w:rPr>
                      <w:rFonts w:ascii="仿宋_GB2312" w:hAnsi="仿宋_GB2312" w:cs="仿宋_GB2312" w:eastAsia="仿宋_GB2312"/>
                      <w:sz w:val="20"/>
                    </w:rPr>
                    <w:t>板材为</w:t>
                  </w:r>
                  <w:r>
                    <w:rPr>
                      <w:rFonts w:ascii="仿宋_GB2312" w:hAnsi="仿宋_GB2312" w:cs="仿宋_GB2312" w:eastAsia="仿宋_GB2312"/>
                      <w:sz w:val="20"/>
                    </w:rPr>
                    <w:t>E1级多层实木板；陶瓷</w:t>
                  </w:r>
                  <w:r>
                    <w:rPr>
                      <w:rFonts w:ascii="仿宋_GB2312" w:hAnsi="仿宋_GB2312" w:cs="仿宋_GB2312" w:eastAsia="仿宋_GB2312"/>
                      <w:sz w:val="20"/>
                    </w:rPr>
                    <w:t>耐污染性</w:t>
                  </w:r>
                  <w:r>
                    <w:rPr>
                      <w:rFonts w:ascii="仿宋_GB2312" w:hAnsi="仿宋_GB2312" w:cs="仿宋_GB2312" w:eastAsia="仿宋_GB2312"/>
                      <w:sz w:val="20"/>
                    </w:rPr>
                    <w:t>≥3 级</w:t>
                  </w:r>
                  <w:r>
                    <w:rPr>
                      <w:rFonts w:ascii="仿宋_GB2312" w:hAnsi="仿宋_GB2312" w:cs="仿宋_GB2312" w:eastAsia="仿宋_GB2312"/>
                      <w:sz w:val="20"/>
                    </w:rPr>
                    <w:t>；</w:t>
                  </w:r>
                  <w:r>
                    <w:rPr>
                      <w:rFonts w:ascii="仿宋_GB2312" w:hAnsi="仿宋_GB2312" w:cs="仿宋_GB2312" w:eastAsia="仿宋_GB2312"/>
                      <w:sz w:val="20"/>
                    </w:rPr>
                    <w:t>不锈钢下水线</w:t>
                  </w:r>
                  <w:r>
                    <w:rPr>
                      <w:rFonts w:ascii="仿宋_GB2312" w:hAnsi="仿宋_GB2312" w:cs="仿宋_GB2312" w:eastAsia="仿宋_GB2312"/>
                      <w:sz w:val="20"/>
                    </w:rPr>
                    <w:t>。</w:t>
                  </w:r>
                  <w:r>
                    <w:rPr>
                      <w:rFonts w:ascii="仿宋_GB2312" w:hAnsi="仿宋_GB2312" w:cs="仿宋_GB2312" w:eastAsia="仿宋_GB2312"/>
                      <w:sz w:val="20"/>
                    </w:rPr>
                    <w:t>节能环保产品，符合</w:t>
                  </w:r>
                  <w:r>
                    <w:rPr>
                      <w:rFonts w:ascii="仿宋_GB2312" w:hAnsi="仿宋_GB2312" w:cs="仿宋_GB2312" w:eastAsia="仿宋_GB2312"/>
                      <w:sz w:val="20"/>
                    </w:rPr>
                    <w:t>本项目工程量清单、采购文件，符合</w:t>
                  </w:r>
                  <w:r>
                    <w:rPr>
                      <w:rFonts w:ascii="仿宋_GB2312" w:hAnsi="仿宋_GB2312" w:cs="仿宋_GB2312" w:eastAsia="仿宋_GB2312"/>
                      <w:sz w:val="20"/>
                    </w:rPr>
                    <w:t>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水咀</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不锈钢拉丝水咀，</w:t>
                  </w:r>
                  <w:r>
                    <w:rPr>
                      <w:rFonts w:ascii="仿宋_GB2312" w:hAnsi="仿宋_GB2312" w:cs="仿宋_GB2312" w:eastAsia="仿宋_GB2312"/>
                      <w:sz w:val="20"/>
                    </w:rPr>
                    <w:t>产品金属污染物析出统计值：</w:t>
                  </w:r>
                </w:p>
                <w:p>
                  <w:pPr>
                    <w:pStyle w:val="null3"/>
                    <w:jc w:val="left"/>
                  </w:pPr>
                  <w:r>
                    <w:rPr>
                      <w:rFonts w:ascii="仿宋_GB2312" w:hAnsi="仿宋_GB2312" w:cs="仿宋_GB2312" w:eastAsia="仿宋_GB2312"/>
                      <w:sz w:val="20"/>
                    </w:rPr>
                    <w:t>Pb≤4μg/L</w:t>
                  </w:r>
                </w:p>
                <w:p>
                  <w:pPr>
                    <w:pStyle w:val="null3"/>
                    <w:jc w:val="left"/>
                  </w:pPr>
                  <w:r>
                    <w:rPr>
                      <w:rFonts w:ascii="仿宋_GB2312" w:hAnsi="仿宋_GB2312" w:cs="仿宋_GB2312" w:eastAsia="仿宋_GB2312"/>
                      <w:sz w:val="20"/>
                    </w:rPr>
                    <w:t>Cu≤100μg/L</w:t>
                  </w:r>
                </w:p>
                <w:p>
                  <w:pPr>
                    <w:pStyle w:val="null3"/>
                    <w:jc w:val="left"/>
                  </w:pPr>
                  <w:r>
                    <w:rPr>
                      <w:rFonts w:ascii="仿宋_GB2312" w:hAnsi="仿宋_GB2312" w:cs="仿宋_GB2312" w:eastAsia="仿宋_GB2312"/>
                      <w:sz w:val="20"/>
                    </w:rPr>
                    <w:t>Cr≤7μg/L</w:t>
                  </w:r>
                </w:p>
                <w:p>
                  <w:pPr>
                    <w:pStyle w:val="null3"/>
                    <w:jc w:val="left"/>
                  </w:pPr>
                  <w:r>
                    <w:rPr>
                      <w:rFonts w:ascii="仿宋_GB2312" w:hAnsi="仿宋_GB2312" w:cs="仿宋_GB2312" w:eastAsia="仿宋_GB2312"/>
                      <w:sz w:val="20"/>
                    </w:rPr>
                    <w:t>Cd≤0.4μg/L</w:t>
                  </w:r>
                </w:p>
                <w:p>
                  <w:pPr>
                    <w:pStyle w:val="null3"/>
                    <w:jc w:val="left"/>
                  </w:pPr>
                  <w:r>
                    <w:rPr>
                      <w:rFonts w:ascii="仿宋_GB2312" w:hAnsi="仿宋_GB2312" w:cs="仿宋_GB2312" w:eastAsia="仿宋_GB2312"/>
                      <w:sz w:val="20"/>
                    </w:rPr>
                    <w:t>As≤0.7μg/L</w:t>
                  </w:r>
                </w:p>
                <w:p>
                  <w:pPr>
                    <w:pStyle w:val="null3"/>
                    <w:jc w:val="left"/>
                  </w:pPr>
                  <w:r>
                    <w:rPr>
                      <w:rFonts w:ascii="仿宋_GB2312" w:hAnsi="仿宋_GB2312" w:cs="仿宋_GB2312" w:eastAsia="仿宋_GB2312"/>
                      <w:sz w:val="20"/>
                    </w:rPr>
                    <w:t>Cr6+≤1.5μg/L</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大便器</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液压</w:t>
                  </w:r>
                  <w:r>
                    <w:rPr>
                      <w:rFonts w:ascii="仿宋_GB2312" w:hAnsi="仿宋_GB2312" w:cs="仿宋_GB2312" w:eastAsia="仿宋_GB2312"/>
                      <w:sz w:val="20"/>
                    </w:rPr>
                    <w:t>不锈钢</w:t>
                  </w:r>
                  <w:r>
                    <w:rPr>
                      <w:rFonts w:ascii="仿宋_GB2312" w:hAnsi="仿宋_GB2312" w:cs="仿宋_GB2312" w:eastAsia="仿宋_GB2312"/>
                      <w:sz w:val="20"/>
                    </w:rPr>
                    <w:t>脚踏冲洗阀</w:t>
                  </w:r>
                  <w:r>
                    <w:rPr>
                      <w:rFonts w:ascii="仿宋_GB2312" w:hAnsi="仿宋_GB2312" w:cs="仿宋_GB2312" w:eastAsia="仿宋_GB2312"/>
                      <w:sz w:val="20"/>
                    </w:rPr>
                    <w:t>/感应阀前排水单排</w:t>
                  </w:r>
                  <w:r>
                    <w:rPr>
                      <w:rFonts w:ascii="仿宋_GB2312" w:hAnsi="仿宋_GB2312" w:cs="仿宋_GB2312" w:eastAsia="仿宋_GB2312"/>
                      <w:sz w:val="20"/>
                    </w:rPr>
                    <w:t>蹲式大便器</w:t>
                  </w:r>
                  <w:r>
                    <w:rPr>
                      <w:rFonts w:ascii="仿宋_GB2312" w:hAnsi="仿宋_GB2312" w:cs="仿宋_GB2312" w:eastAsia="仿宋_GB2312"/>
                      <w:sz w:val="20"/>
                    </w:rPr>
                    <w:t>带存水弯</w:t>
                  </w:r>
                  <w:r>
                    <w:rPr>
                      <w:rFonts w:ascii="仿宋_GB2312" w:hAnsi="仿宋_GB2312" w:cs="仿宋_GB2312" w:eastAsia="仿宋_GB2312"/>
                      <w:sz w:val="20"/>
                    </w:rPr>
                    <w:t>，</w:t>
                  </w:r>
                  <w:r>
                    <w:rPr>
                      <w:rFonts w:ascii="仿宋_GB2312" w:hAnsi="仿宋_GB2312" w:cs="仿宋_GB2312" w:eastAsia="仿宋_GB2312"/>
                      <w:sz w:val="20"/>
                    </w:rPr>
                    <w:t>符合国家相关标准、规范。</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小便器</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上进地排分体式悬挂小便器</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98"/>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阀门</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参数详见工程量清单，符合本项目工程量清单、采购文件，符合</w:t>
                  </w:r>
                  <w:r>
                    <w:rPr>
                      <w:rFonts w:ascii="仿宋_GB2312" w:hAnsi="仿宋_GB2312" w:cs="仿宋_GB2312" w:eastAsia="仿宋_GB2312"/>
                      <w:sz w:val="20"/>
                    </w:rPr>
                    <w:t>国家相关标准、规范</w:t>
                  </w:r>
                </w:p>
              </w:tc>
            </w:tr>
          </w:tbl>
          <w:p>
            <w:pPr>
              <w:pStyle w:val="null3"/>
              <w:spacing w:after="165"/>
              <w:jc w:val="both"/>
            </w:pPr>
            <w:r>
              <w:rPr>
                <w:rFonts w:ascii="仿宋_GB2312" w:hAnsi="仿宋_GB2312" w:cs="仿宋_GB2312" w:eastAsia="仿宋_GB2312"/>
                <w:sz w:val="20"/>
                <w:b/>
              </w:rPr>
              <w:t>3、</w:t>
            </w:r>
            <w:r>
              <w:rPr>
                <w:rFonts w:ascii="仿宋_GB2312" w:hAnsi="仿宋_GB2312" w:cs="仿宋_GB2312" w:eastAsia="仿宋_GB2312"/>
                <w:sz w:val="20"/>
                <w:b/>
              </w:rPr>
              <w:t>项目需执行的国家标准、行业标准、地方标准或者其他标准、规范等：</w:t>
            </w:r>
          </w:p>
          <w:tbl>
            <w:tblPr>
              <w:tblInd w:type="dxa" w:w="510"/>
              <w:tblBorders>
                <w:top w:val="none" w:color="000000" w:sz="4"/>
                <w:left w:val="none" w:color="000000" w:sz="4"/>
                <w:bottom w:val="none" w:color="000000" w:sz="4"/>
                <w:right w:val="none" w:color="000000" w:sz="4"/>
                <w:insideH w:val="none"/>
                <w:insideV w:val="none"/>
              </w:tblBorders>
            </w:tblPr>
            <w:tblGrid>
              <w:gridCol w:w="163"/>
              <w:gridCol w:w="2390"/>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序号</w:t>
                  </w:r>
                </w:p>
              </w:tc>
              <w:tc>
                <w:tcPr>
                  <w:tcW w:type="dxa" w:w="2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标准、规范、规程名称</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1</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rPr>
                    <w:t>建筑工程施工质量验收统一标准（</w:t>
                  </w:r>
                  <w:r>
                    <w:rPr>
                      <w:rFonts w:ascii="仿宋_GB2312" w:hAnsi="仿宋_GB2312" w:cs="仿宋_GB2312" w:eastAsia="仿宋_GB2312"/>
                      <w:sz w:val="20"/>
                      <w:b/>
                    </w:rPr>
                    <w:t>GB50300-2013）</w:t>
                  </w:r>
                </w:p>
              </w:tc>
            </w:tr>
          </w:tbl>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投标报价要求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采购</w:t>
            </w:r>
            <w:r>
              <w:rPr>
                <w:rFonts w:ascii="仿宋_GB2312" w:hAnsi="仿宋_GB2312" w:cs="仿宋_GB2312" w:eastAsia="仿宋_GB2312"/>
                <w:sz w:val="20"/>
              </w:rPr>
              <w:t>文件中提供的工程量清单是依据《陕西省建设工程费用规则》、</w:t>
            </w:r>
            <w:r>
              <w:rPr>
                <w:rFonts w:ascii="仿宋_GB2312" w:hAnsi="仿宋_GB2312" w:cs="仿宋_GB2312" w:eastAsia="仿宋_GB2312"/>
                <w:sz w:val="20"/>
              </w:rPr>
              <w:t>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w:t>
            </w:r>
            <w:r>
              <w:rPr>
                <w:rFonts w:ascii="仿宋_GB2312" w:hAnsi="仿宋_GB2312" w:cs="仿宋_GB2312" w:eastAsia="仿宋_GB2312"/>
                <w:sz w:val="20"/>
              </w:rPr>
              <w:t>;</w:t>
            </w:r>
            <w:r>
              <w:rPr>
                <w:rFonts w:ascii="仿宋_GB2312" w:hAnsi="仿宋_GB2312" w:cs="仿宋_GB2312" w:eastAsia="仿宋_GB2312"/>
                <w:sz w:val="20"/>
              </w:rPr>
              <w:t>供应商成交</w:t>
            </w:r>
            <w:r>
              <w:rPr>
                <w:rFonts w:ascii="仿宋_GB2312" w:hAnsi="仿宋_GB2312" w:cs="仿宋_GB2312" w:eastAsia="仿宋_GB2312"/>
                <w:sz w:val="20"/>
              </w:rPr>
              <w:t>后，若出现</w:t>
            </w:r>
            <w:r>
              <w:rPr>
                <w:rFonts w:ascii="仿宋_GB2312" w:hAnsi="仿宋_GB2312" w:cs="仿宋_GB2312" w:eastAsia="仿宋_GB2312"/>
                <w:sz w:val="20"/>
              </w:rPr>
              <w:t>采购</w:t>
            </w:r>
            <w:r>
              <w:rPr>
                <w:rFonts w:ascii="仿宋_GB2312" w:hAnsi="仿宋_GB2312" w:cs="仿宋_GB2312" w:eastAsia="仿宋_GB2312"/>
                <w:sz w:val="20"/>
              </w:rPr>
              <w:t>文件中工程量清单描述与图纸不符等问题时，此部分工程量清单项的综合单价不予调整。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供应商参加磋商</w:t>
            </w:r>
            <w:r>
              <w:rPr>
                <w:rFonts w:ascii="仿宋_GB2312" w:hAnsi="仿宋_GB2312" w:cs="仿宋_GB2312" w:eastAsia="仿宋_GB2312"/>
                <w:sz w:val="20"/>
              </w:rPr>
              <w:t>前，应仔细勘察现场，应充分了解工程建设现状与本工程发包内容相关的实际情况，应充分考虑实际情况对</w:t>
            </w:r>
            <w:r>
              <w:rPr>
                <w:rFonts w:ascii="仿宋_GB2312" w:hAnsi="仿宋_GB2312" w:cs="仿宋_GB2312" w:eastAsia="仿宋_GB2312"/>
                <w:sz w:val="20"/>
              </w:rPr>
              <w:t>响应</w:t>
            </w:r>
            <w:r>
              <w:rPr>
                <w:rFonts w:ascii="仿宋_GB2312" w:hAnsi="仿宋_GB2312" w:cs="仿宋_GB2312" w:eastAsia="仿宋_GB2312"/>
                <w:sz w:val="20"/>
              </w:rPr>
              <w:t>报价的影响，任何因忽视或误解现状情况而导致的索赔、价款调整或工期延长申请将不被批准。</w:t>
            </w:r>
            <w:r>
              <w:rPr>
                <w:rFonts w:ascii="仿宋_GB2312" w:hAnsi="仿宋_GB2312" w:cs="仿宋_GB2312" w:eastAsia="仿宋_GB2312"/>
                <w:sz w:val="20"/>
              </w:rPr>
              <w:t>供应商</w:t>
            </w:r>
            <w:r>
              <w:rPr>
                <w:rFonts w:ascii="仿宋_GB2312" w:hAnsi="仿宋_GB2312" w:cs="仿宋_GB2312" w:eastAsia="仿宋_GB2312"/>
                <w:sz w:val="20"/>
              </w:rPr>
              <w:t>应充分考虑工程建设现状与本工程计价有关的任何因素均应考虑在</w:t>
            </w:r>
            <w:r>
              <w:rPr>
                <w:rFonts w:ascii="仿宋_GB2312" w:hAnsi="仿宋_GB2312" w:cs="仿宋_GB2312" w:eastAsia="仿宋_GB2312"/>
                <w:sz w:val="20"/>
              </w:rPr>
              <w:t>响应</w:t>
            </w:r>
            <w:r>
              <w:rPr>
                <w:rFonts w:ascii="仿宋_GB2312" w:hAnsi="仿宋_GB2312" w:cs="仿宋_GB2312" w:eastAsia="仿宋_GB2312"/>
                <w:sz w:val="20"/>
              </w:rPr>
              <w:t>报价中。</w:t>
            </w:r>
          </w:p>
          <w:p>
            <w:pPr>
              <w:pStyle w:val="null3"/>
              <w:spacing w:after="165"/>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）工程价款结算时依据最终报价和一次报价的下浮比例执行。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二、商务要求（实质性要求，不允许负偏离）：</w:t>
            </w:r>
          </w:p>
          <w:p>
            <w:pPr>
              <w:pStyle w:val="null3"/>
              <w:ind w:firstLine="400"/>
              <w:jc w:val="both"/>
            </w:pPr>
            <w:r>
              <w:rPr>
                <w:rFonts w:ascii="仿宋_GB2312" w:hAnsi="仿宋_GB2312" w:cs="仿宋_GB2312" w:eastAsia="仿宋_GB2312"/>
                <w:sz w:val="20"/>
              </w:rPr>
              <w:t>1、工期</w:t>
            </w:r>
          </w:p>
          <w:p>
            <w:pPr>
              <w:pStyle w:val="null3"/>
              <w:ind w:firstLine="400"/>
              <w:jc w:val="both"/>
            </w:pPr>
            <w:r>
              <w:rPr>
                <w:rFonts w:ascii="仿宋_GB2312" w:hAnsi="仿宋_GB2312" w:cs="仿宋_GB2312" w:eastAsia="仿宋_GB2312"/>
                <w:sz w:val="20"/>
              </w:rPr>
              <w:t>有效工期要求</w:t>
            </w:r>
            <w:r>
              <w:rPr>
                <w:rFonts w:ascii="仿宋_GB2312" w:hAnsi="仿宋_GB2312" w:cs="仿宋_GB2312" w:eastAsia="仿宋_GB2312"/>
                <w:sz w:val="20"/>
              </w:rPr>
              <w:t>60天，根据项目实际需求及使用单位要求确定 。</w:t>
            </w:r>
          </w:p>
          <w:p>
            <w:pPr>
              <w:pStyle w:val="null3"/>
              <w:ind w:firstLine="400"/>
              <w:jc w:val="both"/>
            </w:pPr>
            <w:r>
              <w:rPr>
                <w:rFonts w:ascii="仿宋_GB2312" w:hAnsi="仿宋_GB2312" w:cs="仿宋_GB2312" w:eastAsia="仿宋_GB2312"/>
                <w:sz w:val="20"/>
              </w:rPr>
              <w:t>2、付款方式要求及履约保证金</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1）付款方式要求</w:t>
            </w:r>
          </w:p>
          <w:p>
            <w:pPr>
              <w:pStyle w:val="null3"/>
              <w:ind w:firstLine="400"/>
              <w:jc w:val="both"/>
            </w:pPr>
            <w:r>
              <w:rPr>
                <w:rFonts w:ascii="仿宋_GB2312" w:hAnsi="仿宋_GB2312" w:cs="仿宋_GB2312" w:eastAsia="仿宋_GB2312"/>
                <w:sz w:val="20"/>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pPr>
              <w:pStyle w:val="null3"/>
              <w:ind w:firstLine="400"/>
              <w:jc w:val="both"/>
            </w:pPr>
            <w:r>
              <w:rPr>
                <w:rFonts w:ascii="仿宋_GB2312" w:hAnsi="仿宋_GB2312" w:cs="仿宋_GB2312" w:eastAsia="仿宋_GB2312"/>
                <w:sz w:val="20"/>
              </w:rPr>
              <w:t>□签订合同完毕，供应商无法提供预付款保函，施工满一个月，且经核算完成80%改造工程内容后，支付合同额60%进度款。</w:t>
            </w:r>
          </w:p>
          <w:p>
            <w:pPr>
              <w:pStyle w:val="null3"/>
              <w:ind w:firstLine="400"/>
              <w:jc w:val="both"/>
            </w:pPr>
            <w:r>
              <w:rPr>
                <w:rFonts w:ascii="仿宋_GB2312" w:hAnsi="仿宋_GB2312" w:cs="仿宋_GB2312" w:eastAsia="仿宋_GB2312"/>
                <w:sz w:val="20"/>
              </w:rPr>
              <w:t>工程竣工验收合格后经审计部门或其委托有工程造价咨询资质的机构审定结算后，缴纳施工水电费后，支付至审定结算价的</w:t>
            </w:r>
            <w:r>
              <w:rPr>
                <w:rFonts w:ascii="仿宋_GB2312" w:hAnsi="仿宋_GB2312" w:cs="仿宋_GB2312" w:eastAsia="仿宋_GB2312"/>
                <w:sz w:val="20"/>
              </w:rPr>
              <w:t>100%；但在国家规定的保修期限内，保修责任仍由承包人继续承担。</w:t>
            </w:r>
          </w:p>
          <w:p>
            <w:pPr>
              <w:pStyle w:val="null3"/>
              <w:ind w:firstLine="400"/>
              <w:jc w:val="both"/>
            </w:pPr>
            <w:r>
              <w:rPr>
                <w:rFonts w:ascii="仿宋_GB2312" w:hAnsi="仿宋_GB2312" w:cs="仿宋_GB2312" w:eastAsia="仿宋_GB2312"/>
                <w:sz w:val="20"/>
              </w:rPr>
              <w:t>本工程的工程量据实结算，若乙方报送的原始结算价超出甲方审定结算价的</w:t>
            </w:r>
            <w:r>
              <w:rPr>
                <w:rFonts w:ascii="仿宋_GB2312" w:hAnsi="仿宋_GB2312" w:cs="仿宋_GB2312" w:eastAsia="仿宋_GB2312"/>
                <w:sz w:val="20"/>
              </w:rPr>
              <w:t>3％，则乙方承担全部审计费，在结算付款时一次性扣除。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2）履约保证金要求</w:t>
            </w:r>
          </w:p>
          <w:p>
            <w:pPr>
              <w:pStyle w:val="null3"/>
              <w:ind w:firstLine="400"/>
              <w:jc w:val="both"/>
            </w:pPr>
            <w:r>
              <w:rPr>
                <w:rFonts w:ascii="仿宋_GB2312" w:hAnsi="仿宋_GB2312" w:cs="仿宋_GB2312" w:eastAsia="仿宋_GB2312"/>
                <w:sz w:val="20"/>
              </w:rPr>
              <w:t>履约保证金基本要求：供应商成交后凭成交通知书向采购人缴纳成交金额的</w:t>
            </w:r>
            <w:r>
              <w:rPr>
                <w:rFonts w:ascii="仿宋_GB2312" w:hAnsi="仿宋_GB2312" w:cs="仿宋_GB2312" w:eastAsia="仿宋_GB2312"/>
                <w:sz w:val="20"/>
              </w:rPr>
              <w:t>3%作为履约保证金，待合同（含保修期）履约完毕后无息退还。若保修期内出现质量问题未及时处理或处理不当造成事故的，履约保证金不予退还。</w:t>
            </w:r>
          </w:p>
          <w:p>
            <w:pPr>
              <w:pStyle w:val="null3"/>
              <w:ind w:firstLine="400"/>
              <w:jc w:val="left"/>
            </w:pPr>
            <w:r>
              <w:rPr>
                <w:rFonts w:ascii="仿宋_GB2312" w:hAnsi="仿宋_GB2312" w:cs="仿宋_GB2312" w:eastAsia="仿宋_GB2312"/>
                <w:sz w:val="20"/>
              </w:rPr>
              <w:t xml:space="preserve">3.质量标准： </w:t>
            </w:r>
            <w:r>
              <w:rPr>
                <w:rFonts w:ascii="仿宋_GB2312" w:hAnsi="仿宋_GB2312" w:cs="仿宋_GB2312" w:eastAsia="仿宋_GB2312"/>
                <w:sz w:val="20"/>
              </w:rPr>
              <w:t>质量标准执行国家、陕西省、西安市现行工程质量验评标准，施工结束后提供具有</w:t>
            </w:r>
            <w:r>
              <w:rPr>
                <w:rFonts w:ascii="仿宋_GB2312" w:hAnsi="仿宋_GB2312" w:cs="仿宋_GB2312" w:eastAsia="仿宋_GB2312"/>
                <w:sz w:val="20"/>
              </w:rPr>
              <w:t>CMA/CNAS资格的第三方检测机构空气质量检测报告。</w:t>
            </w:r>
          </w:p>
          <w:p>
            <w:pPr>
              <w:pStyle w:val="null3"/>
              <w:ind w:firstLine="400"/>
              <w:jc w:val="left"/>
            </w:pPr>
            <w:r>
              <w:rPr>
                <w:rFonts w:ascii="仿宋_GB2312" w:hAnsi="仿宋_GB2312" w:cs="仿宋_GB2312" w:eastAsia="仿宋_GB2312"/>
                <w:sz w:val="20"/>
              </w:rPr>
              <w:t>4.质保期及保修要求：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1）质保期：本项目竣工验收合格通过之日起贰年</w:t>
            </w:r>
            <w:r>
              <w:rPr>
                <w:rFonts w:ascii="仿宋_GB2312" w:hAnsi="仿宋_GB2312" w:cs="仿宋_GB2312" w:eastAsia="仿宋_GB2312"/>
                <w:sz w:val="20"/>
              </w:rPr>
              <w:t>，其中防水五年；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2）保修要求</w:t>
            </w:r>
          </w:p>
          <w:p>
            <w:pPr>
              <w:pStyle w:val="null3"/>
              <w:ind w:firstLine="400"/>
              <w:jc w:val="both"/>
            </w:pPr>
            <w:r>
              <w:rPr>
                <w:rFonts w:ascii="仿宋_GB2312" w:hAnsi="仿宋_GB2312" w:cs="仿宋_GB2312" w:eastAsia="仿宋_GB2312"/>
                <w:sz w:val="20"/>
              </w:rPr>
              <w:t>①属于保修范围和内容的项目，承包人应在接到维修通知后， 1 天内派人维修。发生紧急抢修事故（如上水管跑水、爆裂，供电设施漏、断电等），承包人应在接到事故通知后 2 小时内到达事故现场并于 4 小时内完成应急维修。</w:t>
            </w:r>
          </w:p>
          <w:p>
            <w:pPr>
              <w:pStyle w:val="null3"/>
            </w:pPr>
            <w:r>
              <w:rPr>
                <w:rFonts w:ascii="仿宋_GB2312" w:hAnsi="仿宋_GB2312" w:cs="仿宋_GB2312" w:eastAsia="仿宋_GB2312"/>
                <w:sz w:val="20"/>
              </w:rPr>
              <w:t>5.施工地点：西安建筑科技大学雁塔校区</w:t>
            </w:r>
            <w:r>
              <w:rPr>
                <w:rFonts w:ascii="仿宋_GB2312" w:hAnsi="仿宋_GB2312" w:cs="仿宋_GB2312" w:eastAsia="仿宋_GB2312"/>
                <w:sz w:val="20"/>
              </w:rPr>
              <w:t>工科楼</w:t>
            </w:r>
            <w:r>
              <w:rPr>
                <w:rFonts w:ascii="仿宋_GB2312" w:hAnsi="仿宋_GB2312" w:cs="仿宋_GB2312" w:eastAsia="仿宋_GB2312"/>
                <w:sz w:val="2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1、本工程为交钥匙工程，为清单报价，最终工程量按照实际发生量计取。 2、报价汇总表中的价格必须是完成本项目的所有费用的报价；工程量清单中的全费用综合单价包括但不限于所需的人工费、材料费、运杂费（含装卸、搬运、损耗、二次运输及多次倒运费用）、施工机械使用费、保管费、检测与试验费、安装及调试费、各种措施费（含安全文明措施费）、劳保统筹基金、各类保险、管理费、利润、规费、各项税费、施工车辆校内通行费、垃圾清运费、用水用电费、验收、质保及保修服务、风险、责任和义务等所有费用。 3、供应商填报工程量清单报价时，对采购人提供的工程量清单数据及内容、表格格式均不得改动，如有改动，工程结算时采购人有权按有利于采购人的方式进行结算。 4、磋商报价应是包含劳保统筹基金的含税工程造价。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1、成交供应商领取成交通知书时，提交纸质响应文件贰份，内容和通过电子化交易平台实施的政府采购项目提交的响应文件一致。 2、保证金的退还：自成交通知书发出之日起5个工作日内退还未成交供应商的磋商保证金,自采购合同签订之日起5个工作日内退还成交供应商的磋商保证金。 3、其他要求：本项目按全费用综合单价执行。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供应商须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参加本项目的供应商拟派项目经理具备合法有效的建筑工程专业二级以上（含二级）注册建造师资格和有效的安全生产考核合格证书（建安B证），在本单位注册且无在建工程。</w:t>
            </w:r>
          </w:p>
        </w:tc>
        <w:tc>
          <w:tcPr>
            <w:tcW w:type="dxa" w:w="1661"/>
          </w:tcPr>
          <w:p>
            <w:pPr>
              <w:pStyle w:val="null3"/>
            </w:pPr>
            <w:r>
              <w:rPr>
                <w:rFonts w:ascii="仿宋_GB2312" w:hAnsi="仿宋_GB2312" w:cs="仿宋_GB2312" w:eastAsia="仿宋_GB2312"/>
              </w:rPr>
              <w:t>项目管理机构组成表 主要人员简历表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具备建筑工程施工总承包三级及以上或建筑装修装饰工程专业承包二级及以上资质，有效期内的安全生产许可证。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供应商及拟派项目经理基本信息需在陕西省住房和城乡建设厅（http://js.shaanxi.gov.cn/）网站可查询。</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三、供应商提交的相关证明材料，应当加盖供应商（法定名称）电子印章，在磋商小组要求的时间内通过项目电子化交易系统进行提交，否则提交的相关证明材料无效。 四、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应当将其作为无效响应处理。</w:t>
            </w:r>
          </w:p>
        </w:tc>
        <w:tc>
          <w:tcPr>
            <w:tcW w:type="dxa" w:w="1661"/>
          </w:tcPr>
          <w:p>
            <w:pPr>
              <w:pStyle w:val="null3"/>
            </w:pPr>
            <w:r>
              <w:rPr>
                <w:rFonts w:ascii="仿宋_GB2312" w:hAnsi="仿宋_GB2312" w:cs="仿宋_GB2312" w:eastAsia="仿宋_GB2312"/>
              </w:rPr>
              <w:t>响应文件封面 主要材料品牌、价格表.docx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响应文件按采购文件要求的数量、计量单位、报价货币及签字盖章</w:t>
            </w:r>
          </w:p>
        </w:tc>
        <w:tc>
          <w:tcPr>
            <w:tcW w:type="dxa" w:w="1661"/>
          </w:tcPr>
          <w:p>
            <w:pPr>
              <w:pStyle w:val="null3"/>
            </w:pPr>
            <w:r>
              <w:rPr>
                <w:rFonts w:ascii="仿宋_GB2312" w:hAnsi="仿宋_GB2312" w:cs="仿宋_GB2312" w:eastAsia="仿宋_GB2312"/>
              </w:rPr>
              <w:t>主材技术要求响应偏差表.docx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响应文件无响应有效期</w:t>
            </w:r>
          </w:p>
        </w:tc>
        <w:tc>
          <w:tcPr>
            <w:tcW w:type="dxa" w:w="3322"/>
          </w:tcPr>
          <w:p>
            <w:pPr>
              <w:pStyle w:val="null3"/>
            </w:pPr>
            <w:r>
              <w:rPr>
                <w:rFonts w:ascii="仿宋_GB2312" w:hAnsi="仿宋_GB2312" w:cs="仿宋_GB2312" w:eastAsia="仿宋_GB2312"/>
              </w:rPr>
              <w:t>响应文件有效期达到竞争性磋商文件要求的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已标价工程量清单扉页（仅指投标总价扉页）加盖有注册或登记在本单位的造价人员签字并盖执业印章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拟派项目经理承诺函</w:t>
            </w:r>
          </w:p>
        </w:tc>
        <w:tc>
          <w:tcPr>
            <w:tcW w:type="dxa" w:w="3322"/>
          </w:tcPr>
          <w:p>
            <w:pPr>
              <w:pStyle w:val="null3"/>
            </w:pPr>
            <w:r>
              <w:rPr>
                <w:rFonts w:ascii="仿宋_GB2312" w:hAnsi="仿宋_GB2312" w:cs="仿宋_GB2312" w:eastAsia="仿宋_GB2312"/>
              </w:rPr>
              <w:t>提供拟派项目经理及项目组成员在项目结束前不可更换的承诺函</w:t>
            </w:r>
          </w:p>
        </w:tc>
        <w:tc>
          <w:tcPr>
            <w:tcW w:type="dxa" w:w="1661"/>
          </w:tcPr>
          <w:p>
            <w:pPr>
              <w:pStyle w:val="null3"/>
            </w:pPr>
            <w:r>
              <w:rPr>
                <w:rFonts w:ascii="仿宋_GB2312" w:hAnsi="仿宋_GB2312" w:cs="仿宋_GB2312" w:eastAsia="仿宋_GB2312"/>
              </w:rPr>
              <w:t>项目经理及项目组人员承诺函.docx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拟派项目经理社保缴纳证明</w:t>
            </w:r>
          </w:p>
        </w:tc>
        <w:tc>
          <w:tcPr>
            <w:tcW w:type="dxa" w:w="3322"/>
          </w:tcPr>
          <w:p>
            <w:pPr>
              <w:pStyle w:val="null3"/>
            </w:pPr>
            <w:r>
              <w:rPr>
                <w:rFonts w:ascii="仿宋_GB2312" w:hAnsi="仿宋_GB2312" w:cs="仿宋_GB2312" w:eastAsia="仿宋_GB2312"/>
              </w:rPr>
              <w:t>提供拟派项目经理在供应商单位近6个月内社保缴纳证明</w:t>
            </w:r>
          </w:p>
        </w:tc>
        <w:tc>
          <w:tcPr>
            <w:tcW w:type="dxa" w:w="1661"/>
          </w:tcPr>
          <w:p>
            <w:pPr>
              <w:pStyle w:val="null3"/>
            </w:pPr>
            <w:r>
              <w:rPr>
                <w:rFonts w:ascii="仿宋_GB2312" w:hAnsi="仿宋_GB2312" w:cs="仿宋_GB2312" w:eastAsia="仿宋_GB2312"/>
              </w:rPr>
              <w:t>项目经理在本单位近6个月内社保缴纳证明.docx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w:t>
            </w:r>
          </w:p>
        </w:tc>
        <w:tc>
          <w:tcPr>
            <w:tcW w:type="dxa" w:w="1661"/>
          </w:tcPr>
          <w:p>
            <w:pPr>
              <w:pStyle w:val="null3"/>
            </w:pPr>
            <w:r>
              <w:rPr>
                <w:rFonts w:ascii="仿宋_GB2312" w:hAnsi="仿宋_GB2312" w:cs="仿宋_GB2312" w:eastAsia="仿宋_GB2312"/>
              </w:rPr>
              <w:t>主材技术要求响应偏差表.docx 技术服务合同条款及其他商务要求应答表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实质性偏离</w:t>
            </w:r>
          </w:p>
        </w:tc>
        <w:tc>
          <w:tcPr>
            <w:tcW w:type="dxa" w:w="3322"/>
          </w:tcPr>
          <w:p>
            <w:pPr>
              <w:pStyle w:val="null3"/>
            </w:pPr>
            <w:r>
              <w:rPr>
                <w:rFonts w:ascii="仿宋_GB2312" w:hAnsi="仿宋_GB2312" w:cs="仿宋_GB2312" w:eastAsia="仿宋_GB2312"/>
              </w:rPr>
              <w:t>响应文件中主要材料技术指标无负偏离</w:t>
            </w:r>
          </w:p>
        </w:tc>
        <w:tc>
          <w:tcPr>
            <w:tcW w:type="dxa" w:w="1661"/>
          </w:tcPr>
          <w:p>
            <w:pPr>
              <w:pStyle w:val="null3"/>
            </w:pPr>
            <w:r>
              <w:rPr>
                <w:rFonts w:ascii="仿宋_GB2312" w:hAnsi="仿宋_GB2312" w:cs="仿宋_GB2312" w:eastAsia="仿宋_GB2312"/>
              </w:rPr>
              <w:t>主要材料品牌、价格表.docx 主材技术要求响应偏差表.docx 技术服务合同条款及其他商务要求应答表</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其他无效情形</w:t>
            </w:r>
          </w:p>
        </w:tc>
        <w:tc>
          <w:tcPr>
            <w:tcW w:type="dxa" w:w="1661"/>
          </w:tcPr>
          <w:p>
            <w:pPr>
              <w:pStyle w:val="null3"/>
            </w:pPr>
            <w:r>
              <w:rPr>
                <w:rFonts w:ascii="仿宋_GB2312" w:hAnsi="仿宋_GB2312" w:cs="仿宋_GB2312" w:eastAsia="仿宋_GB2312"/>
              </w:rPr>
              <w:t>主要材料品牌、价格表.docx 主材技术要求响应偏差表.docx 技术服务合同条款及其他商务要求应答表 供应商承诺书.docx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1、对项目实施的现场情况、难易程度、历史资料匹配、成品保护等重点、难点进行分析；根据对项目整体理解内容进行评审： 内容完备、科学、合理、针对性强得1.5分； 内容较为完备，针对性较强的得1分； 内容较为简略、基本可行得0.5分； 内容缺失严重、不合理和未提供的均不计分。 2、根据供应商针对本项目易发生质量通病、易出现安全问题、施工难度大、技术含量高的分项工程等进行说明并给出施工保障措施和专项技术方案（含主要施工工法、组织措施、检验手段等）进行评审：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内容较为简略、基本可行得0.7分； 内容缺失严重、不合理和未提供的均不计分。 3、根据供应商针对本项目影响本项目的外在因素和可能出现的问题进行分析，并制定相关应急预案或保证措施进行评审： 内容完备、科学、合理、针对性强得1.5分； 内容较为完备，针对性较强的得1分； 内容较为简略、基本可行得0.5分； 内容缺失严重、不合理和未提供的均不计分。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根据供应商针对本项目工期、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内容较为简略、基本可行得1分； 内容缺失严重、不合理和未提供的均不计分。 2、根据供应商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内容较为简略、基本可行得0.7分； 内容缺失严重、不合理和未提供的均不计分。 2、根据供应商针对本项目提供分部分项工程质量保证措施；成品保护和工程保修管理措施进行评审： 内容完备、科学、合理、针对性强得2分； 内容较为完备，针对性较强的得1.4分； 内容较为简略、基本可行得0.7分；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1、根据供应商针对本项目结合工程环境、特点分析安全隐患，给出有针对性的安全生产、文明施工、环保施工、防尘降噪等保证措施进行评审： 内容完备、科学、合理、针对性强得2分； 内容较为完备，针对性较强的得1.5分； 内容较为简略、基本可行得1分； 内容缺失严重、不合理和未提供的均不计分。 2、根据供应商针对本项目安全文明、环保施工保证体系和控制点设置合理，给出的满足国家、省市相关法规规定及采购文件要求的保护措施进行评审： 内容完备、科学、合理、针对性强得2分； 内容较为完备，针对性较强的得1.5分；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根据供应商针对本项目提供的项目人员组成，技术负责人（职称、学历、工作年限），其他项目人员构成情况（岗位设置、专业种类及能力、有技术职称的人员比例）等进行评审：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根据供应商提供拟派项目经理自2023年5月1日至今的类似业绩证明材料进行评审，每提供1项得1分，最多得3分。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主要材料品牌、价格表</w:t>
            </w:r>
          </w:p>
        </w:tc>
        <w:tc>
          <w:tcPr>
            <w:tcW w:type="dxa" w:w="2492"/>
          </w:tcPr>
          <w:p>
            <w:pPr>
              <w:pStyle w:val="null3"/>
            </w:pPr>
            <w:r>
              <w:rPr>
                <w:rFonts w:ascii="仿宋_GB2312" w:hAnsi="仿宋_GB2312" w:cs="仿宋_GB2312" w:eastAsia="仿宋_GB2312"/>
              </w:rPr>
              <w:t>1、根据供应商针对本项目提供项目的主材清单（清单内容包括材料名称、品牌、规格、材料单价），进行评审： 主要材料按上述要求内容填写完整，无缺漏项计4分； 未提供或提供不全或拟投主要材料品牌不明确的本项不得分。 2、根据供应商针对本项目拟投入的主要材料品牌、价格表的产品选型情况、品质进行评审： 主要材料品牌、价格表的市场应用比例高、与本次项目契合度高、为主流产品且符合相关要求，相关证明材料完整、清晰的得5分； 主要材料品牌、价格表的市场应用比例较高、与本次项目契合度较好、为较主流产品，相关证明材料较完整、较清晰的得4分； 主要材料品牌、价格表的市场应用比例中等、与本次项目契合度一般、为一般产品，相关证明材料基本完整的得3分； 主要材料品牌、价格表的市场应用比例偏低、与本次项目契合度较差，相关证明材料部分缺失的得2分； 主要材料品牌、价格表的市场占有率一般，相关证明材料不完整、缺失严重的得1分； 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主要材料品牌、价格表.docx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以上内容每提供一项得0.5分，最高得4分，不提供不计分。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“节能产品”，“环境标志产品”证明材料.docx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满足磋商文件要求且最后磋商价格最低的磋商报价为评标基准价，其价格分为满分。其他供应商的价格分统一按照下列公式计算：磋商报价得分=（评标基准价/磋商报价）×55</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详见附件：项目经理及项目组人员承诺函.docx</w:t>
      </w:r>
    </w:p>
    <w:p>
      <w:pPr>
        <w:pStyle w:val="null3"/>
        <w:ind w:firstLine="960"/>
      </w:pPr>
      <w:r>
        <w:rPr>
          <w:rFonts w:ascii="仿宋_GB2312" w:hAnsi="仿宋_GB2312" w:cs="仿宋_GB2312" w:eastAsia="仿宋_GB2312"/>
        </w:rPr>
        <w:t>详见附件：项目经理在本单位近6个月内社保缴纳证明.docx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详见附件：主要材料品牌、价格表.docx</w:t>
      </w:r>
    </w:p>
    <w:p>
      <w:pPr>
        <w:pStyle w:val="null3"/>
        <w:ind w:firstLine="960"/>
      </w:pPr>
      <w:r>
        <w:rPr>
          <w:rFonts w:ascii="仿宋_GB2312" w:hAnsi="仿宋_GB2312" w:cs="仿宋_GB2312" w:eastAsia="仿宋_GB2312"/>
        </w:rPr>
        <w:t>详见附件：主材技术要求响应偏差表.docx</w:t>
      </w:r>
    </w:p>
    <w:p>
      <w:pPr>
        <w:pStyle w:val="null3"/>
        <w:ind w:firstLine="960"/>
      </w:pPr>
      <w:r>
        <w:rPr>
          <w:rFonts w:ascii="仿宋_GB2312" w:hAnsi="仿宋_GB2312" w:cs="仿宋_GB2312" w:eastAsia="仿宋_GB2312"/>
        </w:rPr>
        <w:t>详见附件：“节能产品”，“环境标志产品”证明材料.docx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