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版本号：SSHJ-CG-26-0420260716002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三秦智医助理系统及陕西省医疗机构信息互通互享数据采集项目接口改造及开发服务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SSHJ-CG-26-04</w:t>
      </w:r>
      <w:r>
        <w:br/>
      </w:r>
      <w:r>
        <w:br/>
      </w:r>
      <w:r>
        <w:br/>
      </w:r>
    </w:p>
    <w:p>
      <w:pPr>
        <w:pStyle w:val="null3"/>
        <w:jc w:val="center"/>
        <w:outlineLvl w:val="5"/>
      </w:pPr>
      <w:r>
        <w:rPr>
          <w:rFonts w:ascii="仿宋_GB2312" w:hAnsi="仿宋_GB2312" w:cs="仿宋_GB2312" w:eastAsia="仿宋_GB2312"/>
          <w:sz w:val="15"/>
          <w:b/>
        </w:rPr>
        <w:t>商洛市中医医院</w:t>
      </w:r>
    </w:p>
    <w:p>
      <w:pPr>
        <w:pStyle w:val="null3"/>
        <w:jc w:val="center"/>
        <w:outlineLvl w:val="5"/>
      </w:pPr>
      <w:r>
        <w:rPr>
          <w:rFonts w:ascii="仿宋_GB2312" w:hAnsi="仿宋_GB2312" w:cs="仿宋_GB2312" w:eastAsia="仿宋_GB2312"/>
          <w:sz w:val="15"/>
          <w:b/>
        </w:rPr>
        <w:t>陕西商山宏建工程建设管理有限公司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陕西商山宏建工程建设管理有限公司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三秦智医助理系统及陕西省医疗机构信息互通互享数据采集项目接口改造及开发服务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SSHJ-CG-26-04</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三秦智医助理系统及陕西省医疗机构信息互通互享数据采集项目接口改造及开发服务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全面落实陕西省卫生健康委员会全省医疗机构信息互通共享攻坚工作部署，严格遵照省级印发医疗机构信息互通共享数据采集标准规范要求，全面打通省内各级医疗机构院内业务系统与省级三秦智医助理平台数据链路，补齐现有接口适配短板，完成全域诊疗数据归集上报，满足省级卫健数据考核、分级诊疗、检查检验结果互认、基层AI辅助诊疗常态化运行工作要求，保障全省医疗健康数据一体化互通共享工作落地，本次实施平台接口开发、适配、联调专项服务采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采购包1（三秦智医助理系统及陕西省医疗机构信息互通互享数据采集项目接口改造及开发服务）：属于专门面向中小企业采购。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 信用代码营业执照(事业单位提供事业单位法人证书，自然人应提供身份证)，供 应商需在项目电子化交易系统中按要求上传相应证明文件并进行电子签章;</w:t>
      </w:r>
    </w:p>
    <w:p>
      <w:pPr>
        <w:pStyle w:val="null3"/>
      </w:pPr>
      <w:r>
        <w:rPr>
          <w:rFonts w:ascii="仿宋_GB2312" w:hAnsi="仿宋_GB2312" w:cs="仿宋_GB2312" w:eastAsia="仿宋_GB2312"/>
        </w:rPr>
        <w:t>2、法定代表人授权委托书：法定代表人直接参与投标时需提供身份证原件及复印件加盖公章；被授权人参与投标时需提供法定代表人授权委托书（附法定代表人及被委托人身份证复印件并加盖公章）并出示被授权代表的身份证原件，供应商需在项目电子化交易系统中按要求上传相应证明文件并进行电子签章；</w:t>
      </w:r>
    </w:p>
    <w:p>
      <w:pPr>
        <w:pStyle w:val="null3"/>
      </w:pPr>
      <w:r>
        <w:rPr>
          <w:rFonts w:ascii="仿宋_GB2312" w:hAnsi="仿宋_GB2312" w:cs="仿宋_GB2312" w:eastAsia="仿宋_GB2312"/>
        </w:rPr>
        <w:t>3、财务状况：供应商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存款账户开户银行出具的资信证明及基本存款帐户开户证明;供应商需在项目电子化交易系统中按要求上传相应证明文件并进行电子签章；</w:t>
      </w:r>
    </w:p>
    <w:p>
      <w:pPr>
        <w:pStyle w:val="null3"/>
      </w:pPr>
      <w:r>
        <w:rPr>
          <w:rFonts w:ascii="仿宋_GB2312" w:hAnsi="仿宋_GB2312" w:cs="仿宋_GB2312" w:eastAsia="仿宋_GB2312"/>
        </w:rPr>
        <w:t>4、税收缴纳证明：供应商提供近开标前一年内至今已缴纳的任意一个月的完税证明(任意税种)。依法免税的单位应提供相关证明材料;供应商需在项目电子化交易系统中按要求上传相应证明文件并进行电子签章；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5、社会保障资金缴纳证明：供应商提供开标前一年内至今已缴纳的任意一个月的社保缴纳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6、无重大违法记录：供应商参加政府采购活动前3年内在经营活动中没有重大违法记录的书面声明;供应商需在项目电子化交易系统中按要求上传相应证明文件并进行电子签章；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7、专业技术能力声明：供应商须提供具有履行合同所必需的设备和专业技术能力的承诺书，供应商需在项目电子化交易系统中按要求上传相应证明文件并进行电子签章；</w:t>
      </w:r>
    </w:p>
    <w:p>
      <w:pPr>
        <w:pStyle w:val="null3"/>
      </w:pPr>
      <w:r>
        <w:rPr>
          <w:rFonts w:ascii="仿宋_GB2312" w:hAnsi="仿宋_GB2312" w:cs="仿宋_GB2312" w:eastAsia="仿宋_GB2312"/>
        </w:rPr>
        <w:t>8、本项目不接受联合体投标：供应商须提供《非联合体投标声明》；供应商需在项目电子化交易系统中按要求上传相应证明文件并进行电子签章；</w:t>
      </w:r>
    </w:p>
    <w:p>
      <w:pPr>
        <w:pStyle w:val="null3"/>
      </w:pPr>
      <w:r>
        <w:rPr>
          <w:rFonts w:ascii="仿宋_GB2312" w:hAnsi="仿宋_GB2312" w:cs="仿宋_GB2312" w:eastAsia="仿宋_GB2312"/>
        </w:rPr>
        <w:t>9、信用主体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查询时间为发售文件之日至开标当日)；供应商需在项目电子化交易系统中按要求上传相应证明文件并进行电子签章；</w:t>
      </w:r>
    </w:p>
    <w:p>
      <w:pPr>
        <w:pStyle w:val="null3"/>
      </w:pPr>
      <w:r>
        <w:rPr>
          <w:rFonts w:ascii="仿宋_GB2312" w:hAnsi="仿宋_GB2312" w:cs="仿宋_GB2312" w:eastAsia="仿宋_GB2312"/>
        </w:rPr>
        <w:t>10、投标保证金：供应商提供投标保证金缴纳凭证，供应商需在项目电子化交易系统中按要求上传相应证明文件并进行电子签章；</w:t>
      </w:r>
    </w:p>
    <w:p>
      <w:pPr>
        <w:pStyle w:val="null3"/>
      </w:pPr>
      <w:r>
        <w:rPr>
          <w:rFonts w:ascii="仿宋_GB2312" w:hAnsi="仿宋_GB2312" w:cs="仿宋_GB2312" w:eastAsia="仿宋_GB2312"/>
        </w:rPr>
        <w:t>11、控股管理关系：单位负责人为同一人或者存在直接控股、管理关系的供应商，不得参加同一合同下的政府采购活动的承诺书;供应商需在项目电子化交易系统中按要求上传相应证明文件并进行电子签章。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13991485188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陕西商山宏建工程建设管理有限公司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陕西省商洛市商州区陕西省商洛市商州区城关街道办事处商中路社区名人街34号5楼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18909148291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开户名称：陕西商山宏建工程建设管理有限公司</w:t>
            </w:r>
          </w:p>
          <w:p>
            <w:pPr>
              <w:pStyle w:val="null3"/>
            </w:pPr>
            <w:r>
              <w:rPr>
                <w:rFonts w:ascii="仿宋_GB2312" w:hAnsi="仿宋_GB2312" w:cs="仿宋_GB2312" w:eastAsia="仿宋_GB2312"/>
              </w:rPr>
              <w:t>开户银行：中国银行商洛商州区金泉路支行</w:t>
            </w:r>
          </w:p>
          <w:p>
            <w:pPr>
              <w:pStyle w:val="null3"/>
            </w:pPr>
            <w:r>
              <w:rPr>
                <w:rFonts w:ascii="仿宋_GB2312" w:hAnsi="仿宋_GB2312" w:cs="仿宋_GB2312" w:eastAsia="仿宋_GB2312"/>
              </w:rPr>
              <w:t>银行账号：1029 0525 9216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1980号文件《招标代理服务收费管理暂行办法》、发改委[2011]534号文件《关于降低部分建设项目收费标准规范收费行为等有关问题的通知》规定的收费标准。向陕西商山宏建工程建设管理有限公司交纳采购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陕西商山宏建工程建设管理有限公司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陕西商山宏建工程建设管理有限公司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陕西商山宏建工程建设管理有限公司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陕西商山宏建工程建设管理有限公司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陕西商山宏建工程建设管理有限公司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陕西商山宏建工程建设管理有限公司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联系电话：18909148291</w:t>
      </w:r>
    </w:p>
    <w:p>
      <w:pPr>
        <w:pStyle w:val="null3"/>
      </w:pPr>
      <w:r>
        <w:rPr>
          <w:rFonts w:ascii="仿宋_GB2312" w:hAnsi="仿宋_GB2312" w:cs="仿宋_GB2312" w:eastAsia="仿宋_GB2312"/>
        </w:rPr>
        <w:t>地址：陕西省商洛市商州区名人街金源二路34号5楼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项目名称： 三秦智医助理系统及陕西省医疗机构信息互通互享数据采集项目接口改造及开发服务 预算金额：320000.00元 采购内容:系统接口改造及开发，详见采购文件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三秦智医助理系统及陕西省信息互通互享数据采集项目接口改造及开发服务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标的名称：三秦智医助理系统及陕西省信息互通互享数据采集项目接口改造及开发服务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1.严格遵照陕西省医疗机构信息互通共享省级标准规范，完成医 疗机构信息互通共享数据采集专属接口升级改造，统一数据字段、传 输格式、加密规则，实现门诊、住院、检验、影像、公卫随访、签约服务等全类别诊疗数据标准化采集、合规上报入库；</w:t>
            </w:r>
          </w:p>
          <w:p>
            <w:pPr>
              <w:pStyle w:val="null3"/>
            </w:pPr>
            <w:r>
              <w:rPr>
                <w:rFonts w:ascii="仿宋_GB2312" w:hAnsi="仿宋_GB2312" w:cs="仿宋_GB2312" w:eastAsia="仿宋_GB2312"/>
              </w:rPr>
              <w:t>2.全覆盖开展接口对接、系统联调、压力测试、漏洞整改、全周期试运行工作，排查数据传输卡顿、对接报错、数据缺失、权限不互通等问题，保障院内业务系统与省级三秦智医助理平台对接顺畅、传输稳定、业务联动正常；</w:t>
            </w:r>
          </w:p>
          <w:p>
            <w:pPr>
              <w:pStyle w:val="null3"/>
            </w:pPr>
            <w:r>
              <w:rPr>
                <w:rFonts w:ascii="仿宋_GB2312" w:hAnsi="仿宋_GB2312" w:cs="仿宋_GB2312" w:eastAsia="仿宋_GB2312"/>
              </w:rPr>
              <w:t>3.对接改造全程不影响医疗机构日常诊疗接诊、收费、医技检查、 公卫办公等现有业务正常运行，保障医疗业务连续性、患者隐私数据 传输安全性。</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拟派项目负责人及核心技术人员需具备丰富的省级平台对接或医疗数据互通项目经验，承诺全职投入。</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提供的设备合规合格，适配三秦智医平台及院内现有系统，满足数据安全传输条件。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进度款，项目完成之后支付，达到付款条件起10个工作日内，支付合同总金额的60.0%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进度款，项目完成后满半年，达到付款条件起10个工作日内，支付合同总金额的30.0%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进度款，项目完成满一年，达到付款条件起10个工作日内，支付合同总金额的10.0%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1.内部初验：接口部署完成，院内系统运行平稳，无卡顿、报错、数据缺失； 2.省级联调验收:数据T+1正常上报,数据一致性≥95%,通过省级平合质控校验，分级诊疗、检查检验互认、AI辅助诊疗功能正常调用； 3.文档验收：全套交付资料完整规范，符合医院档案归档要求； 4.全部条件满足方可签署正式验收合格单</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供应商未按约定工期完工，每逾期1日：按合同总价款0.3%支付违约金，违约金累计上限为合同总价20%；逾期超15日，采购人有权单方解除合同并追偿损失。 因供应商开发、实施问题导致院内诊疗业务中断、省级数据考核不达标，供应商须无偿整改直至达标，并承担由此产生的全部损失。 若发生数据泄露、违规传输等安全事故，采购人有权扣除全部尾款，并追究供应商法律责任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保障政府采购电子化交易平台项目实施，供应商需要在线提交所有通过电子化交易平台实施的政府采购项目的响应文件，同时，线下提交响应文件正本壹份、副本贰份、电子版两份（U盘两份）。（1）提交纸质版响应文件截止时间：开标前；（2）提交纸质版响应文件地点：陕西省商洛市商州区名人街金源二路34号5楼；（3）提交纸质版响应文件密封要求：投标文件正本一个封袋、副本一个封袋、电子版文件放置正本封袋内，电子版文件须粘贴注明投标人名称的标签。 2、投标人应根据“陕西省财政厅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《政府采购促进中小企业发展管理办法》的通知--（财库[2020]46号）；</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 信用代码营业执照(事业单位提供事业单位法人证书，自然人应提供身份证)，供 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与投标时需提供身份证原件及复印件加盖公章；被授权人参与投标时需提供法定代表人授权委托书（附法定代表人及被委托人身份证复印件并加盖公章）并出示被授权代表的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响应文件截止时间不足一年的可提供成立后任意时段的资产负债表），或其开标前三个月内基本存款账户开户银行出具的资信证明及基本存款帐户开户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供应商提供近开标前一年内至今已缴纳的任意一个月的完税证明(任意税种)。依法免税的单位应提供相关证明材料;供应商需在项目电子化交易系统中按要求上传相应证明文件并进行电子签章；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供应商提供开标前一年内至今已缴纳的任意一个月的社保缴纳证明。依法不需要缴纳社会保障资金的单位应提供相关证明材料，供应商需在项目电子化交易系统中按要求上传相应证明文件并进行电子签章；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供应商须提供具有履行合同所必需的设备和专业技术能力的承诺书，供应商需在项目电子化交易系统中按要求上传相应证明文件并进行电子签章；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供应商须提供《非联合体投标声明》；供应商需在项目电子化交易系统中按要求上传相应证明文件并进行电子签章；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查询时间为发售文件之日至开标当日)；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供应商提供投标保证金缴纳凭证，供应商需在项目电子化交易系统中按要求上传相应证明文件并进行电子签章；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单位负责人为同一人或者存在直接控股、管理关系的供应商，不得参加同一合同下的政府采购活动的承诺书;供应商需在项目电子化交易系统中按要求上传相应证明文件并进行电子签章。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服务方案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供应商应按照采购文件要求进行签字或盖章</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单位名称及响应有效期的要求</w:t>
            </w:r>
          </w:p>
        </w:tc>
        <w:tc>
          <w:tcPr>
            <w:tcW w:type="dxa" w:w="3322"/>
          </w:tcPr>
          <w:p>
            <w:pPr>
              <w:pStyle w:val="null3"/>
            </w:pPr>
            <w:r>
              <w:rPr>
                <w:rFonts w:ascii="仿宋_GB2312" w:hAnsi="仿宋_GB2312" w:cs="仿宋_GB2312" w:eastAsia="仿宋_GB2312"/>
              </w:rPr>
              <w:t>响应文件单位公章与单位名称一致，投标有效期或有效期达到采购文件的要求的。</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投标报价的要求</w:t>
            </w:r>
          </w:p>
        </w:tc>
        <w:tc>
          <w:tcPr>
            <w:tcW w:type="dxa" w:w="3322"/>
          </w:tcPr>
          <w:p>
            <w:pPr>
              <w:pStyle w:val="null3"/>
            </w:pPr>
            <w:r>
              <w:rPr>
                <w:rFonts w:ascii="仿宋_GB2312" w:hAnsi="仿宋_GB2312" w:cs="仿宋_GB2312" w:eastAsia="仿宋_GB2312"/>
              </w:rPr>
              <w:t>投标报价不得高于采购预算要求</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服务要求</w:t>
            </w:r>
          </w:p>
        </w:tc>
        <w:tc>
          <w:tcPr>
            <w:tcW w:type="dxa" w:w="3322"/>
          </w:tcPr>
          <w:p>
            <w:pPr>
              <w:pStyle w:val="null3"/>
            </w:pPr>
            <w:r>
              <w:rPr>
                <w:rFonts w:ascii="仿宋_GB2312" w:hAnsi="仿宋_GB2312" w:cs="仿宋_GB2312" w:eastAsia="仿宋_GB2312"/>
              </w:rPr>
              <w:t>满足采购文件中服务要求及内容</w:t>
            </w:r>
          </w:p>
        </w:tc>
        <w:tc>
          <w:tcPr>
            <w:tcW w:type="dxa" w:w="1661"/>
          </w:tcPr>
          <w:p>
            <w:pPr>
              <w:pStyle w:val="null3"/>
            </w:pPr>
            <w:r>
              <w:rPr>
                <w:rFonts w:ascii="仿宋_GB2312" w:hAnsi="仿宋_GB2312" w:cs="仿宋_GB2312" w:eastAsia="仿宋_GB2312"/>
              </w:rPr>
              <w:t>服务方案 服务内容及服务要求应答表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详见附件：三秦智医助理系统及陕西省医疗机构信息互通互享数据采集项目接口改造及开发服务 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