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版本号：TCZFCG-2026-0028720260529001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购置公务用车</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TCZFCG-2026-00287</w:t>
      </w:r>
      <w:r>
        <w:br/>
      </w:r>
      <w:r>
        <w:br/>
      </w:r>
      <w:r>
        <w:br/>
      </w:r>
    </w:p>
    <w:p>
      <w:pPr>
        <w:pStyle w:val="null3"/>
        <w:jc w:val="center"/>
        <w:outlineLvl w:val="2"/>
      </w:pPr>
      <w:r>
        <w:rPr>
          <w:rFonts w:ascii="仿宋_GB2312" w:hAnsi="仿宋_GB2312" w:cs="仿宋_GB2312" w:eastAsia="仿宋_GB2312"/>
          <w:sz w:val="28"/>
          <w:b/>
        </w:rPr>
        <w:t>铜川市机关事务管理服务中心</w:t>
      </w:r>
    </w:p>
    <w:p>
      <w:pPr>
        <w:pStyle w:val="null3"/>
        <w:jc w:val="center"/>
        <w:outlineLvl w:val="2"/>
      </w:pPr>
      <w:r>
        <w:rPr>
          <w:rFonts w:ascii="仿宋_GB2312" w:hAnsi="仿宋_GB2312" w:cs="仿宋_GB2312" w:eastAsia="仿宋_GB2312"/>
          <w:sz w:val="28"/>
          <w:b/>
        </w:rPr>
        <w:t>铜川市政府采购中心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铜川市政府采购中心</w:t>
      </w:r>
      <w:r>
        <w:rPr>
          <w:rFonts w:ascii="仿宋_GB2312" w:hAnsi="仿宋_GB2312" w:cs="仿宋_GB2312" w:eastAsia="仿宋_GB2312"/>
        </w:rPr>
        <w:t>（以下简称“代理机构”）受</w:t>
      </w:r>
      <w:r>
        <w:rPr>
          <w:rFonts w:ascii="仿宋_GB2312" w:hAnsi="仿宋_GB2312" w:cs="仿宋_GB2312" w:eastAsia="仿宋_GB2312"/>
        </w:rPr>
        <w:t>铜川市机关事务管理服务中心</w:t>
      </w:r>
      <w:r>
        <w:rPr>
          <w:rFonts w:ascii="仿宋_GB2312" w:hAnsi="仿宋_GB2312" w:cs="仿宋_GB2312" w:eastAsia="仿宋_GB2312"/>
        </w:rPr>
        <w:t>委托，拟对</w:t>
      </w:r>
      <w:r>
        <w:rPr>
          <w:rFonts w:ascii="仿宋_GB2312" w:hAnsi="仿宋_GB2312" w:cs="仿宋_GB2312" w:eastAsia="仿宋_GB2312"/>
        </w:rPr>
        <w:t>购置公务用车</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TCZFCG-2026-00287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购置公务用车</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本单位购置公务用车2辆,以保障市级机关公务出行用车。</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铜川市机关事务管理服务中心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铜川市新区朝阳路铜川政务5楼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铜川市机关事务管理服务中心经办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18091913269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铜川市政府采购中心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陕西省铜川市耀州区铜川市新区齐庆路中段人社大厦</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0919-2859994</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铜川市财政局政府采购管理科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郭老师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0919-3281620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采购包1：360,000.00元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铜川市机关事务管理服务中心</w:t>
      </w:r>
      <w:r>
        <w:rPr>
          <w:rFonts w:ascii="仿宋_GB2312" w:hAnsi="仿宋_GB2312" w:cs="仿宋_GB2312" w:eastAsia="仿宋_GB2312"/>
        </w:rPr>
        <w:t>和</w:t>
      </w:r>
      <w:r>
        <w:rPr>
          <w:rFonts w:ascii="仿宋_GB2312" w:hAnsi="仿宋_GB2312" w:cs="仿宋_GB2312" w:eastAsia="仿宋_GB2312"/>
        </w:rPr>
        <w:t>铜川市政府采购中心</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铜川市机关事务管理服务中心</w:t>
      </w:r>
      <w:r>
        <w:rPr>
          <w:rFonts w:ascii="仿宋_GB2312" w:hAnsi="仿宋_GB2312" w:cs="仿宋_GB2312" w:eastAsia="仿宋_GB2312"/>
        </w:rPr>
        <w:t>负责解释。除上述招标文件内容，其他内容由</w:t>
      </w:r>
      <w:r>
        <w:rPr>
          <w:rFonts w:ascii="仿宋_GB2312" w:hAnsi="仿宋_GB2312" w:cs="仿宋_GB2312" w:eastAsia="仿宋_GB2312"/>
        </w:rPr>
        <w:t>铜川市政府采购中心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铜川市机关事务管理服务中心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铜川市政府采购中心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执行国家及行业标准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铜川市机关事务管理服务中心</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铜川市政府采购中心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铜川市政府采购中心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联系人：赵女士</w:t>
      </w:r>
    </w:p>
    <w:p>
      <w:pPr>
        <w:pStyle w:val="null3"/>
      </w:pPr>
      <w:r>
        <w:rPr>
          <w:rFonts w:ascii="仿宋_GB2312" w:hAnsi="仿宋_GB2312" w:cs="仿宋_GB2312" w:eastAsia="仿宋_GB2312"/>
        </w:rPr>
        <w:t>联系电话：0919-2859994</w:t>
      </w:r>
    </w:p>
    <w:p>
      <w:pPr>
        <w:pStyle w:val="null3"/>
      </w:pPr>
      <w:r>
        <w:rPr>
          <w:rFonts w:ascii="仿宋_GB2312" w:hAnsi="仿宋_GB2312" w:cs="仿宋_GB2312" w:eastAsia="仿宋_GB2312"/>
        </w:rPr>
        <w:t>地址：陕西省铜川市新区人社大厦</w:t>
      </w:r>
    </w:p>
    <w:p>
      <w:pPr>
        <w:pStyle w:val="null3"/>
      </w:pPr>
      <w:r>
        <w:rPr>
          <w:rFonts w:ascii="仿宋_GB2312" w:hAnsi="仿宋_GB2312" w:cs="仿宋_GB2312" w:eastAsia="仿宋_GB2312"/>
        </w:rPr>
        <w:t>邮编：727031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本单位购置公务用车2辆,以保障市级机关公务出行用车。</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360,000.00</w:t>
      </w:r>
    </w:p>
    <w:p>
      <w:pPr>
        <w:pStyle w:val="null3"/>
      </w:pPr>
      <w:r>
        <w:rPr>
          <w:rFonts w:ascii="仿宋_GB2312" w:hAnsi="仿宋_GB2312" w:cs="仿宋_GB2312" w:eastAsia="仿宋_GB2312"/>
        </w:rPr>
        <w:t>采购包最高限价（元）: 360,000.00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公务用车</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360,000.00</w:t>
            </w:r>
          </w:p>
        </w:tc>
        <w:tc>
          <w:tcPr>
            <w:tcW w:type="dxa" w:w="755"/>
          </w:tcPr>
          <w:p>
            <w:pPr>
              <w:pStyle w:val="null3"/>
            </w:pPr>
            <w:r>
              <w:rPr>
                <w:rFonts w:ascii="仿宋_GB2312" w:hAnsi="仿宋_GB2312" w:cs="仿宋_GB2312" w:eastAsia="仿宋_GB2312"/>
              </w:rPr>
              <w:t>辆</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标的名称：公务用车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18"/>
              </w:rPr>
              <w:t>1、车型：轿车</w:t>
            </w:r>
          </w:p>
          <w:p>
            <w:pPr>
              <w:pStyle w:val="null3"/>
              <w:jc w:val="both"/>
            </w:pPr>
            <w:r>
              <w:rPr>
                <w:rFonts w:ascii="仿宋_GB2312" w:hAnsi="仿宋_GB2312" w:cs="仿宋_GB2312" w:eastAsia="仿宋_GB2312"/>
                <w:sz w:val="18"/>
              </w:rPr>
              <w:t>2、品牌：国产自主品牌</w:t>
            </w:r>
          </w:p>
          <w:p>
            <w:pPr>
              <w:pStyle w:val="null3"/>
              <w:jc w:val="both"/>
            </w:pPr>
            <w:r>
              <w:rPr>
                <w:rFonts w:ascii="仿宋_GB2312" w:hAnsi="仿宋_GB2312" w:cs="仿宋_GB2312" w:eastAsia="仿宋_GB2312"/>
                <w:sz w:val="18"/>
              </w:rPr>
              <w:t>3、排量：1.5</w:t>
            </w:r>
          </w:p>
          <w:p>
            <w:pPr>
              <w:pStyle w:val="null3"/>
              <w:jc w:val="both"/>
            </w:pPr>
            <w:r>
              <w:rPr>
                <w:rFonts w:ascii="仿宋_GB2312" w:hAnsi="仿宋_GB2312" w:cs="仿宋_GB2312" w:eastAsia="仿宋_GB2312"/>
                <w:sz w:val="18"/>
              </w:rPr>
              <w:t>4、动力系统：混合动力系统</w:t>
            </w:r>
          </w:p>
          <w:p>
            <w:pPr>
              <w:pStyle w:val="null3"/>
              <w:jc w:val="both"/>
            </w:pPr>
            <w:r>
              <w:rPr>
                <w:rFonts w:ascii="仿宋_GB2312" w:hAnsi="仿宋_GB2312" w:cs="仿宋_GB2312" w:eastAsia="仿宋_GB2312"/>
                <w:sz w:val="18"/>
              </w:rPr>
              <w:t>5、燃油种类：汽油</w:t>
            </w:r>
          </w:p>
          <w:p>
            <w:pPr>
              <w:pStyle w:val="null3"/>
              <w:jc w:val="both"/>
            </w:pPr>
            <w:r>
              <w:rPr>
                <w:rFonts w:ascii="仿宋_GB2312" w:hAnsi="仿宋_GB2312" w:cs="仿宋_GB2312" w:eastAsia="仿宋_GB2312"/>
                <w:sz w:val="18"/>
              </w:rPr>
              <w:t>6、排放标准：国六</w:t>
            </w:r>
          </w:p>
          <w:p>
            <w:pPr>
              <w:pStyle w:val="null3"/>
              <w:jc w:val="both"/>
            </w:pPr>
            <w:r>
              <w:rPr>
                <w:rFonts w:ascii="仿宋_GB2312" w:hAnsi="仿宋_GB2312" w:cs="仿宋_GB2312" w:eastAsia="仿宋_GB2312"/>
                <w:sz w:val="18"/>
              </w:rPr>
              <w:t>7、电机形式：永磁同步电机</w:t>
            </w:r>
          </w:p>
          <w:p>
            <w:pPr>
              <w:pStyle w:val="null3"/>
              <w:jc w:val="both"/>
            </w:pPr>
            <w:r>
              <w:rPr>
                <w:rFonts w:ascii="仿宋_GB2312" w:hAnsi="仿宋_GB2312" w:cs="仿宋_GB2312" w:eastAsia="仿宋_GB2312"/>
                <w:sz w:val="18"/>
              </w:rPr>
              <w:t>8、发动机最大功率（KW）：≥65</w:t>
            </w:r>
          </w:p>
          <w:p>
            <w:pPr>
              <w:pStyle w:val="null3"/>
              <w:jc w:val="both"/>
            </w:pPr>
            <w:r>
              <w:rPr>
                <w:rFonts w:ascii="仿宋_GB2312" w:hAnsi="仿宋_GB2312" w:cs="仿宋_GB2312" w:eastAsia="仿宋_GB2312"/>
                <w:sz w:val="18"/>
              </w:rPr>
              <w:t>9、电机最大功率：≥160</w:t>
            </w:r>
          </w:p>
          <w:p>
            <w:pPr>
              <w:pStyle w:val="null3"/>
              <w:jc w:val="both"/>
            </w:pPr>
            <w:r>
              <w:rPr>
                <w:rFonts w:ascii="仿宋_GB2312" w:hAnsi="仿宋_GB2312" w:cs="仿宋_GB2312" w:eastAsia="仿宋_GB2312"/>
                <w:sz w:val="18"/>
              </w:rPr>
              <w:t>10、车身总长：≥4800mm</w:t>
            </w:r>
          </w:p>
          <w:p>
            <w:pPr>
              <w:pStyle w:val="null3"/>
              <w:jc w:val="both"/>
            </w:pPr>
            <w:r>
              <w:rPr>
                <w:rFonts w:ascii="仿宋_GB2312" w:hAnsi="仿宋_GB2312" w:cs="仿宋_GB2312" w:eastAsia="仿宋_GB2312"/>
                <w:sz w:val="18"/>
              </w:rPr>
              <w:t>11、车身总宽：≥1850mm</w:t>
            </w:r>
          </w:p>
          <w:p>
            <w:pPr>
              <w:pStyle w:val="null3"/>
              <w:jc w:val="both"/>
            </w:pPr>
            <w:r>
              <w:rPr>
                <w:rFonts w:ascii="仿宋_GB2312" w:hAnsi="仿宋_GB2312" w:cs="仿宋_GB2312" w:eastAsia="仿宋_GB2312"/>
                <w:sz w:val="18"/>
              </w:rPr>
              <w:t>12、车身总高:≥1460mm</w:t>
            </w:r>
          </w:p>
          <w:p>
            <w:pPr>
              <w:pStyle w:val="null3"/>
              <w:jc w:val="both"/>
            </w:pPr>
            <w:r>
              <w:rPr>
                <w:rFonts w:ascii="仿宋_GB2312" w:hAnsi="仿宋_GB2312" w:cs="仿宋_GB2312" w:eastAsia="仿宋_GB2312"/>
                <w:sz w:val="18"/>
              </w:rPr>
              <w:t>13、轴距:≥2850mm</w:t>
            </w:r>
          </w:p>
          <w:p>
            <w:pPr>
              <w:pStyle w:val="null3"/>
              <w:jc w:val="both"/>
            </w:pPr>
            <w:r>
              <w:rPr>
                <w:rFonts w:ascii="仿宋_GB2312" w:hAnsi="仿宋_GB2312" w:cs="仿宋_GB2312" w:eastAsia="仿宋_GB2312"/>
                <w:sz w:val="18"/>
              </w:rPr>
              <w:t>14、燃油箱容积:≥45L</w:t>
            </w:r>
          </w:p>
          <w:p>
            <w:pPr>
              <w:pStyle w:val="null3"/>
              <w:jc w:val="both"/>
            </w:pPr>
            <w:r>
              <w:rPr>
                <w:rFonts w:ascii="仿宋_GB2312" w:hAnsi="仿宋_GB2312" w:cs="仿宋_GB2312" w:eastAsia="仿宋_GB2312"/>
                <w:sz w:val="18"/>
              </w:rPr>
              <w:t>15、电池类型:磷酸铁锂</w:t>
            </w:r>
          </w:p>
          <w:p>
            <w:pPr>
              <w:pStyle w:val="null3"/>
              <w:jc w:val="both"/>
            </w:pPr>
            <w:r>
              <w:rPr>
                <w:rFonts w:ascii="仿宋_GB2312" w:hAnsi="仿宋_GB2312" w:cs="仿宋_GB2312" w:eastAsia="仿宋_GB2312"/>
                <w:sz w:val="18"/>
              </w:rPr>
              <w:t>16、综合工况续航里程（km）:≥1200</w:t>
            </w:r>
          </w:p>
          <w:p>
            <w:pPr>
              <w:pStyle w:val="null3"/>
              <w:jc w:val="both"/>
            </w:pPr>
            <w:r>
              <w:rPr>
                <w:rFonts w:ascii="仿宋_GB2312" w:hAnsi="仿宋_GB2312" w:cs="仿宋_GB2312" w:eastAsia="仿宋_GB2312"/>
                <w:sz w:val="18"/>
              </w:rPr>
              <w:t>17、遥控钥匙:有</w:t>
            </w:r>
          </w:p>
          <w:p>
            <w:pPr>
              <w:pStyle w:val="null3"/>
              <w:jc w:val="both"/>
            </w:pPr>
            <w:r>
              <w:rPr>
                <w:rFonts w:ascii="仿宋_GB2312" w:hAnsi="仿宋_GB2312" w:cs="仿宋_GB2312" w:eastAsia="仿宋_GB2312"/>
                <w:sz w:val="18"/>
              </w:rPr>
              <w:t>18、变速箱:自动挡变速箱</w:t>
            </w:r>
          </w:p>
          <w:p>
            <w:pPr>
              <w:pStyle w:val="null3"/>
              <w:jc w:val="both"/>
            </w:pPr>
            <w:r>
              <w:rPr>
                <w:rFonts w:ascii="仿宋_GB2312" w:hAnsi="仿宋_GB2312" w:cs="仿宋_GB2312" w:eastAsia="仿宋_GB2312"/>
                <w:sz w:val="18"/>
              </w:rPr>
              <w:t>19、制动型式:前通风盘式/后盘式</w:t>
            </w:r>
          </w:p>
          <w:p>
            <w:pPr>
              <w:pStyle w:val="null3"/>
              <w:jc w:val="both"/>
            </w:pPr>
            <w:r>
              <w:rPr>
                <w:rFonts w:ascii="仿宋_GB2312" w:hAnsi="仿宋_GB2312" w:cs="仿宋_GB2312" w:eastAsia="仿宋_GB2312"/>
                <w:sz w:val="18"/>
              </w:rPr>
              <w:t>20、转向系统:电子助力</w:t>
            </w:r>
          </w:p>
          <w:p>
            <w:pPr>
              <w:pStyle w:val="null3"/>
              <w:jc w:val="both"/>
            </w:pPr>
            <w:r>
              <w:rPr>
                <w:rFonts w:ascii="仿宋_GB2312" w:hAnsi="仿宋_GB2312" w:cs="仿宋_GB2312" w:eastAsia="仿宋_GB2312"/>
                <w:sz w:val="18"/>
              </w:rPr>
              <w:t>21、前大灯:LED近光远光</w:t>
            </w:r>
          </w:p>
          <w:p>
            <w:pPr>
              <w:pStyle w:val="null3"/>
              <w:jc w:val="both"/>
            </w:pPr>
            <w:r>
              <w:rPr>
                <w:rFonts w:ascii="仿宋_GB2312" w:hAnsi="仿宋_GB2312" w:cs="仿宋_GB2312" w:eastAsia="仿宋_GB2312"/>
                <w:sz w:val="18"/>
              </w:rPr>
              <w:t>22、空调功能:自动空调</w:t>
            </w:r>
          </w:p>
          <w:p>
            <w:pPr>
              <w:pStyle w:val="null3"/>
              <w:jc w:val="both"/>
            </w:pPr>
            <w:r>
              <w:rPr>
                <w:rFonts w:ascii="仿宋_GB2312" w:hAnsi="仿宋_GB2312" w:cs="仿宋_GB2312" w:eastAsia="仿宋_GB2312"/>
                <w:sz w:val="18"/>
              </w:rPr>
              <w:t>23、车身稳定系统:有</w:t>
            </w:r>
          </w:p>
          <w:p>
            <w:pPr>
              <w:pStyle w:val="null3"/>
              <w:jc w:val="both"/>
            </w:pPr>
            <w:r>
              <w:rPr>
                <w:rFonts w:ascii="仿宋_GB2312" w:hAnsi="仿宋_GB2312" w:cs="仿宋_GB2312" w:eastAsia="仿宋_GB2312"/>
                <w:sz w:val="18"/>
              </w:rPr>
              <w:t>24、悬挂类型:前麦弗逊式独立悬挂/后多连杆悬挂</w:t>
            </w:r>
          </w:p>
          <w:p>
            <w:pPr>
              <w:pStyle w:val="null3"/>
              <w:jc w:val="both"/>
            </w:pPr>
            <w:r>
              <w:rPr>
                <w:rFonts w:ascii="仿宋_GB2312" w:hAnsi="仿宋_GB2312" w:cs="仿宋_GB2312" w:eastAsia="仿宋_GB2312"/>
                <w:sz w:val="18"/>
              </w:rPr>
              <w:t>25、座椅材质:皮质</w:t>
            </w:r>
          </w:p>
          <w:p>
            <w:pPr>
              <w:pStyle w:val="null3"/>
              <w:jc w:val="both"/>
            </w:pPr>
            <w:r>
              <w:rPr>
                <w:rFonts w:ascii="仿宋_GB2312" w:hAnsi="仿宋_GB2312" w:cs="仿宋_GB2312" w:eastAsia="仿宋_GB2312"/>
                <w:sz w:val="18"/>
              </w:rPr>
              <w:t>26、天窗:有</w:t>
            </w:r>
          </w:p>
          <w:p>
            <w:pPr>
              <w:pStyle w:val="null3"/>
            </w:pPr>
            <w:r>
              <w:rPr>
                <w:rFonts w:ascii="仿宋_GB2312" w:hAnsi="仿宋_GB2312" w:cs="仿宋_GB2312" w:eastAsia="仿宋_GB2312"/>
                <w:sz w:val="18"/>
              </w:rPr>
              <w:t>27、其他配置:360°全景影像、L2级的安全辅助驾驶系统、原车行车记录仪、主副驾座椅电动调节、前排座椅通风加热、车机语音交互系统、超声波雷达</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中标后甲乙双方协商确定</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其他，验收合格，达到付款条件起7个工作日内，支付合同总金额的100.0%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按照国家及行业标准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执行国家及行业标准</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合同法》、《中华人民共和国政府采购法》的相关条款规定和本合同约定，成交供应商未全面履行合同义务或者发生违约，采购人会同采购中心有权终止合同，并报请政府采购监管机关依法进行相应的行政处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1、具有独立承担民事责任的能力，提供法人或者其他组织的营业执照等证明文件。 2、具有履行合同所必需的设备和专业技术能力（提供承诺函） 3、依法缴纳税收和社会保障资金相关材料（投标截止日前6个月任意一个月） 4、供应商出具本企业参加政府采购活动前三年内经营活动中没有重大违法记录的书面声明 5、供应商不得为“信用中国”中列入失信被执行人和重大税收违法案件当事人名单的 供应商，不得为“中国政府采购网” 政府采购严重违法失信行为记 录名单中被财政部门禁止参加政府采购活动的供应商（必备资格， 以评审现场查询结果为准，达不到要求，视为无效）</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落实政府采购政策</w:t>
            </w:r>
          </w:p>
        </w:tc>
        <w:tc>
          <w:tcPr>
            <w:tcW w:type="dxa" w:w="3322"/>
          </w:tcPr>
          <w:p>
            <w:pPr>
              <w:pStyle w:val="null3"/>
            </w:pPr>
            <w:r>
              <w:rPr>
                <w:rFonts w:ascii="仿宋_GB2312" w:hAnsi="仿宋_GB2312" w:cs="仿宋_GB2312" w:eastAsia="仿宋_GB2312"/>
              </w:rPr>
              <w:t>中小企业声明函、残疾人福利性单位声明函、监狱企业的证明文件</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1、所提供的车辆技术参数指标等符合国家、行业技术标准及采购内容的要求根据响应程度优劣排序，参数指标细节描述详细、完整优于采购内容的要求，计10~14分;描述基本详细、较为完整，基本符合要求计4~10分;描述符合采购内容要求，内容一般的计0~4分。本项满分14分; 2、产品相关资料:投标产品应包含但不限于附有产品技术资料(技术彩页、检测报告、功能截图等)，根据响应程度计0~6分。产品资料齐全、完整，完全符合 要求计4~6分;产品资料基本完整，内容一般的计0~4分。 3、提供本项目完善的项目实施服务方案，内容完整、规范、科学、合理、安全节能，细节描述详细，有可实施性，根据响应程度优劣排序，实施方案完整、可探作性强、细节考虑到位，且优于采购内容要求计7~10分;实施方案基本完整，有相对的可操作性，描述良好的计3~7分;描述符合采购内容要求，内容一般的计0~3分。本项满分10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投标人应提交的相关资格证明材料</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1、提供针对本项目的厂家授权书得3分；2、投标产品的详细说明，技术资料齐全，真实、表述一致，有宣传彩页资料（附设备外形照片）。根据响应情况综合评比计：1-4分；3、生产厂的生产装备先进、检测方式齐全，具有履行合同所必须的专业设备和专业技术能力，能够保证按期交货。根据响应情况综合评比计：1-5分；4、提供同类产品的客户使用评价，设备性能指标良好、稳定可靠。（以投标文件中所附客户使用评价证明材料为依据）根据响应情况综合评比计：1-3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以合同的形式提供投标人2022--至今销售的同型号设备（换代产品包括上一代产品）的销售合同。每份合同项目得1分，最多得5分。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完全承诺采购内容和合同条款的要求，并针对本项目实际需求提供实质性承诺，根据技术支持和售后服务方案中描述的质保期限长短、内容、排障时限保修服务方案，零配件及易损件储备、发生故障后的补救措施维护保养等内容。承诺内容全面，方案可行性强计10-20分;承诺内容宽泛、不具体计4-10分;承诺内容不满足需求，可行性差计0-7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（1）投标（响应）报价低于最高限价45%的，即投标（响应）报价&lt;最高限价×45%。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 xml:space="preserve"> 投标报价得分＝（评标基准价/投标报价）×价格评审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本项目授权评标委员会直接确认中标供应商，确认后代理机构在陕西省政府采购网上发布中标公告，同时向中标供应商发出中标通知书。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