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80CF1">
      <w:pPr>
        <w:pStyle w:val="7"/>
        <w:keepNext w:val="0"/>
        <w:keepLines w:val="0"/>
        <w:pageBreakBefore w:val="0"/>
        <w:kinsoku/>
        <w:overflowPunct/>
        <w:topLinePunct w:val="0"/>
        <w:autoSpaceDE/>
        <w:autoSpaceDN/>
        <w:bidi w:val="0"/>
        <w:adjustRightInd w:val="0"/>
        <w:snapToGrid w:val="0"/>
        <w:spacing w:line="360" w:lineRule="auto"/>
        <w:ind w:firstLine="482" w:firstLineChars="200"/>
        <w:jc w:val="center"/>
        <w:textAlignment w:val="auto"/>
        <w:outlineLvl w:val="0"/>
        <w:rPr>
          <w:color w:val="0000FF"/>
          <w:sz w:val="24"/>
          <w:szCs w:val="24"/>
        </w:rPr>
      </w:pPr>
      <w:r>
        <w:rPr>
          <w:b/>
          <w:color w:val="0000FF"/>
          <w:sz w:val="24"/>
          <w:szCs w:val="24"/>
        </w:rPr>
        <w:t>第七章 拟签订合同文本</w:t>
      </w:r>
    </w:p>
    <w:p w14:paraId="218A445B">
      <w:pPr>
        <w:keepNext w:val="0"/>
        <w:keepLines w:val="0"/>
        <w:pageBreakBefore w:val="0"/>
        <w:widowControl w:val="0"/>
        <w:shd w:val="clear" w:color="auto" w:fill="FFFFFF"/>
        <w:kinsoku/>
        <w:wordWrap/>
        <w:overflowPunct/>
        <w:topLinePunct w:val="0"/>
        <w:bidi w:val="0"/>
        <w:adjustRightInd w:val="0"/>
        <w:snapToGrid w:val="0"/>
        <w:spacing w:before="312" w:beforeLines="100" w:after="312" w:afterLines="100" w:line="360" w:lineRule="auto"/>
        <w:ind w:firstLine="482" w:firstLineChars="200"/>
        <w:textAlignment w:val="auto"/>
        <w:rPr>
          <w:rFonts w:hint="eastAsia" w:ascii="宋体" w:hAnsi="宋体" w:cs="宋体"/>
          <w:b/>
          <w:caps w:val="0"/>
          <w:color w:val="auto"/>
          <w:sz w:val="24"/>
          <w:szCs w:val="24"/>
          <w:highlight w:val="none"/>
        </w:rPr>
      </w:pPr>
      <w:r>
        <w:rPr>
          <w:rFonts w:hint="eastAsia" w:ascii="宋体" w:hAnsi="宋体" w:cs="宋体"/>
          <w:b/>
          <w:bCs/>
          <w:caps w:val="0"/>
          <w:color w:val="auto"/>
          <w:sz w:val="24"/>
          <w:szCs w:val="24"/>
          <w:highlight w:val="none"/>
        </w:rPr>
        <w:t>甲方：</w:t>
      </w:r>
      <w:r>
        <w:rPr>
          <w:rFonts w:hint="eastAsia" w:ascii="宋体" w:hAnsi="宋体" w:cs="宋体"/>
          <w:caps w:val="0"/>
          <w:color w:val="auto"/>
          <w:sz w:val="24"/>
          <w:szCs w:val="24"/>
          <w:highlight w:val="none"/>
          <w:u w:val="single"/>
        </w:rPr>
        <w:t xml:space="preserve">     </w:t>
      </w:r>
      <w:r>
        <w:rPr>
          <w:rFonts w:hint="eastAsia" w:ascii="宋体" w:hAnsi="宋体" w:cs="宋体"/>
          <w:b/>
          <w:bCs/>
          <w:caps w:val="0"/>
          <w:color w:val="auto"/>
          <w:sz w:val="24"/>
          <w:szCs w:val="24"/>
          <w:highlight w:val="none"/>
          <w:u w:val="single"/>
        </w:rPr>
        <w:t xml:space="preserve">                     </w:t>
      </w:r>
    </w:p>
    <w:p w14:paraId="4EF34BDC">
      <w:pPr>
        <w:keepNext w:val="0"/>
        <w:keepLines w:val="0"/>
        <w:pageBreakBefore w:val="0"/>
        <w:widowControl w:val="0"/>
        <w:shd w:val="clear" w:color="auto" w:fill="FFFFFF"/>
        <w:kinsoku/>
        <w:wordWrap/>
        <w:overflowPunct/>
        <w:topLinePunct w:val="0"/>
        <w:bidi w:val="0"/>
        <w:adjustRightInd w:val="0"/>
        <w:snapToGrid w:val="0"/>
        <w:spacing w:before="312" w:beforeLines="100" w:after="312" w:afterLines="100" w:line="360" w:lineRule="auto"/>
        <w:ind w:firstLine="482" w:firstLineChars="200"/>
        <w:textAlignment w:val="auto"/>
        <w:rPr>
          <w:rFonts w:ascii="宋体" w:hAnsi="宋体" w:cs="宋体"/>
          <w:b/>
          <w:caps w:val="0"/>
          <w:color w:val="auto"/>
          <w:sz w:val="24"/>
          <w:szCs w:val="24"/>
          <w:highlight w:val="none"/>
        </w:rPr>
      </w:pPr>
      <w:r>
        <w:rPr>
          <w:rFonts w:hint="eastAsia" w:ascii="宋体" w:hAnsi="宋体" w:cs="宋体"/>
          <w:b/>
          <w:bCs/>
          <w:caps w:val="0"/>
          <w:color w:val="auto"/>
          <w:sz w:val="24"/>
          <w:szCs w:val="24"/>
          <w:highlight w:val="none"/>
        </w:rPr>
        <w:t>乙方：</w:t>
      </w:r>
      <w:r>
        <w:rPr>
          <w:rFonts w:hint="eastAsia" w:ascii="宋体" w:hAnsi="宋体" w:cs="宋体"/>
          <w:bCs/>
          <w:caps w:val="0"/>
          <w:color w:val="auto"/>
          <w:sz w:val="24"/>
          <w:szCs w:val="24"/>
          <w:highlight w:val="none"/>
          <w:u w:val="single"/>
        </w:rPr>
        <w:t xml:space="preserve">                         </w:t>
      </w:r>
      <w:r>
        <w:rPr>
          <w:rFonts w:hint="eastAsia" w:ascii="宋体" w:hAnsi="宋体" w:cs="宋体"/>
          <w:b/>
          <w:bCs/>
          <w:caps w:val="0"/>
          <w:color w:val="auto"/>
          <w:sz w:val="24"/>
          <w:szCs w:val="24"/>
          <w:highlight w:val="none"/>
          <w:u w:val="single"/>
        </w:rPr>
        <w:t xml:space="preserve"> </w:t>
      </w:r>
    </w:p>
    <w:p w14:paraId="1A5CF7C2">
      <w:pPr>
        <w:keepNext w:val="0"/>
        <w:keepLines w:val="0"/>
        <w:pageBreakBefore w:val="0"/>
        <w:widowControl w:val="0"/>
        <w:shd w:val="clear" w:color="auto" w:fill="FFFFFF"/>
        <w:kinsoku/>
        <w:wordWrap/>
        <w:overflowPunct/>
        <w:topLinePunct w:val="0"/>
        <w:bidi w:val="0"/>
        <w:adjustRightInd w:val="0"/>
        <w:snapToGrid w:val="0"/>
        <w:spacing w:line="360" w:lineRule="auto"/>
        <w:ind w:firstLine="600" w:firstLineChars="25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甲方与乙方依据《中华人民共和国</w:t>
      </w:r>
      <w:r>
        <w:rPr>
          <w:rFonts w:hint="eastAsia" w:ascii="宋体" w:hAnsi="宋体" w:cs="宋体"/>
          <w:caps w:val="0"/>
          <w:color w:val="auto"/>
          <w:sz w:val="24"/>
          <w:szCs w:val="24"/>
          <w:highlight w:val="none"/>
          <w:lang w:eastAsia="zh-CN"/>
        </w:rPr>
        <w:t>民法典</w:t>
      </w:r>
      <w:r>
        <w:rPr>
          <w:rFonts w:hint="eastAsia" w:ascii="宋体" w:hAnsi="宋体" w:cs="宋体"/>
          <w:caps w:val="0"/>
          <w:color w:val="auto"/>
          <w:sz w:val="24"/>
          <w:szCs w:val="24"/>
          <w:highlight w:val="none"/>
        </w:rPr>
        <w:t>》及其他有关法律法规，遵循平等、自愿、公平和诚实信用的原则，甲、乙双方就</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项目相关事项达成一致意见，订立本合同。</w:t>
      </w:r>
    </w:p>
    <w:p w14:paraId="1D4D575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0" w:name="_Toc467005975"/>
      <w:bookmarkStart w:id="1" w:name="_Toc476761649"/>
      <w:bookmarkStart w:id="2" w:name="_Toc465511157"/>
      <w:bookmarkStart w:id="3" w:name="_Toc465510854"/>
      <w:bookmarkStart w:id="4" w:name="_Toc467005725"/>
      <w:bookmarkStart w:id="5" w:name="_Toc466270646"/>
      <w:bookmarkStart w:id="6" w:name="_Toc465511112"/>
      <w:r>
        <w:rPr>
          <w:rFonts w:hint="eastAsia" w:ascii="宋体" w:hAnsi="宋体" w:cs="宋体"/>
          <w:caps w:val="0"/>
          <w:color w:val="auto"/>
          <w:sz w:val="24"/>
          <w:szCs w:val="24"/>
          <w:highlight w:val="none"/>
        </w:rPr>
        <w:t>一、合同范围</w:t>
      </w:r>
      <w:bookmarkEnd w:id="0"/>
      <w:bookmarkEnd w:id="1"/>
      <w:bookmarkEnd w:id="2"/>
      <w:bookmarkEnd w:id="3"/>
      <w:bookmarkEnd w:id="4"/>
      <w:bookmarkEnd w:id="5"/>
      <w:bookmarkEnd w:id="6"/>
      <w:r>
        <w:rPr>
          <w:rFonts w:hint="eastAsia" w:ascii="宋体" w:hAnsi="宋体" w:cs="宋体"/>
          <w:caps w:val="0"/>
          <w:color w:val="auto"/>
          <w:sz w:val="24"/>
          <w:szCs w:val="24"/>
          <w:highlight w:val="none"/>
        </w:rPr>
        <w:t>：</w:t>
      </w:r>
    </w:p>
    <w:p w14:paraId="688DC49C">
      <w:pPr>
        <w:keepNext w:val="0"/>
        <w:keepLines w:val="0"/>
        <w:pageBreakBefore w:val="0"/>
        <w:widowControl w:val="0"/>
        <w:shd w:val="clear" w:color="auto" w:fill="FFFFFF"/>
        <w:kinsoku/>
        <w:wordWrap/>
        <w:overflowPunct/>
        <w:topLinePunct w:val="0"/>
        <w:bidi w:val="0"/>
        <w:adjustRightInd w:val="0"/>
        <w:snapToGrid w:val="0"/>
        <w:spacing w:line="360" w:lineRule="auto"/>
        <w:ind w:firstLine="600" w:firstLineChars="250"/>
        <w:textAlignment w:val="auto"/>
        <w:rPr>
          <w:rFonts w:hint="eastAsia" w:ascii="宋体" w:hAnsi="宋体" w:cs="宋体"/>
          <w:caps w:val="0"/>
          <w:color w:val="auto"/>
          <w:sz w:val="24"/>
          <w:szCs w:val="24"/>
          <w:highlight w:val="none"/>
        </w:rPr>
      </w:pPr>
      <w:bookmarkStart w:id="7" w:name="_Toc467005726"/>
      <w:bookmarkStart w:id="8" w:name="_Toc466270647"/>
      <w:bookmarkStart w:id="9" w:name="_Toc465511113"/>
      <w:bookmarkStart w:id="10" w:name="_Toc476761650"/>
      <w:bookmarkStart w:id="11" w:name="_Toc467005976"/>
      <w:bookmarkStart w:id="12" w:name="_Toc465510855"/>
      <w:bookmarkStart w:id="13" w:name="_Toc465511158"/>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的</w:t>
      </w:r>
      <w:r>
        <w:rPr>
          <w:rFonts w:hint="eastAsia" w:ascii="宋体" w:hAnsi="宋体" w:cs="宋体"/>
          <w:caps w:val="0"/>
          <w:color w:val="auto"/>
          <w:sz w:val="24"/>
          <w:szCs w:val="24"/>
          <w:highlight w:val="none"/>
          <w:lang w:eastAsia="zh-CN"/>
        </w:rPr>
        <w:t>招标文件</w:t>
      </w:r>
      <w:r>
        <w:rPr>
          <w:rFonts w:hint="eastAsia" w:ascii="宋体" w:hAnsi="宋体" w:cs="宋体"/>
          <w:caps w:val="0"/>
          <w:color w:val="auto"/>
          <w:sz w:val="24"/>
          <w:szCs w:val="24"/>
          <w:highlight w:val="none"/>
        </w:rPr>
        <w:t>、答疑文件及采购清单的全部内容，乙方承诺保证完全按照合同约定提供合同设备和技术服务和质量保证期服务并修补缺陷</w:t>
      </w:r>
      <w:bookmarkEnd w:id="7"/>
      <w:bookmarkEnd w:id="8"/>
      <w:bookmarkEnd w:id="9"/>
      <w:bookmarkEnd w:id="10"/>
      <w:bookmarkEnd w:id="11"/>
      <w:bookmarkEnd w:id="12"/>
      <w:bookmarkEnd w:id="13"/>
      <w:r>
        <w:rPr>
          <w:rFonts w:hint="eastAsia" w:ascii="宋体" w:hAnsi="宋体" w:cs="宋体"/>
          <w:caps w:val="0"/>
          <w:color w:val="auto"/>
          <w:sz w:val="24"/>
          <w:szCs w:val="24"/>
          <w:highlight w:val="none"/>
        </w:rPr>
        <w:t>。</w:t>
      </w:r>
    </w:p>
    <w:p w14:paraId="03490CE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14" w:name="_Toc465510856"/>
      <w:bookmarkStart w:id="15" w:name="_Toc466270648"/>
      <w:bookmarkStart w:id="16" w:name="_Toc476761651"/>
      <w:bookmarkStart w:id="17" w:name="_Toc465511114"/>
      <w:bookmarkStart w:id="18" w:name="_Toc465511159"/>
      <w:bookmarkStart w:id="19" w:name="_Toc467005727"/>
      <w:bookmarkStart w:id="20" w:name="_Toc467005977"/>
      <w:r>
        <w:rPr>
          <w:rFonts w:hint="eastAsia" w:ascii="宋体" w:hAnsi="宋体" w:cs="宋体"/>
          <w:caps w:val="0"/>
          <w:color w:val="auto"/>
          <w:sz w:val="24"/>
          <w:szCs w:val="24"/>
          <w:highlight w:val="none"/>
        </w:rPr>
        <w:t>二、</w:t>
      </w:r>
      <w:bookmarkEnd w:id="14"/>
      <w:bookmarkEnd w:id="15"/>
      <w:bookmarkEnd w:id="16"/>
      <w:bookmarkEnd w:id="17"/>
      <w:bookmarkEnd w:id="18"/>
      <w:bookmarkEnd w:id="19"/>
      <w:bookmarkEnd w:id="20"/>
      <w:r>
        <w:rPr>
          <w:rFonts w:hint="eastAsia" w:ascii="宋体" w:hAnsi="宋体" w:cs="宋体"/>
          <w:caps w:val="0"/>
          <w:color w:val="auto"/>
          <w:sz w:val="24"/>
          <w:szCs w:val="24"/>
          <w:highlight w:val="none"/>
        </w:rPr>
        <w:t>交货期（含安装、调试）及质量保证期、交货地点：</w:t>
      </w:r>
    </w:p>
    <w:p w14:paraId="6E199291">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bookmarkStart w:id="21" w:name="_Toc465511160"/>
      <w:bookmarkStart w:id="22" w:name="_Toc467005728"/>
      <w:bookmarkStart w:id="23" w:name="_Toc465510857"/>
      <w:bookmarkStart w:id="24" w:name="_Toc476761652"/>
      <w:bookmarkStart w:id="25" w:name="_Toc465511115"/>
      <w:bookmarkStart w:id="26" w:name="_Toc466270649"/>
      <w:bookmarkStart w:id="27" w:name="_Toc467005978"/>
      <w:r>
        <w:rPr>
          <w:rFonts w:hint="eastAsia" w:ascii="宋体" w:hAnsi="宋体" w:cs="宋体"/>
          <w:caps w:val="0"/>
          <w:color w:val="auto"/>
          <w:kern w:val="28"/>
          <w:sz w:val="24"/>
          <w:szCs w:val="24"/>
          <w:highlight w:val="none"/>
        </w:rPr>
        <w:t>交货期（包含安装、调试时间）为：合同签订后</w:t>
      </w:r>
      <w:r>
        <w:rPr>
          <w:rFonts w:hint="eastAsia" w:ascii="宋体" w:hAnsi="宋体" w:cs="宋体"/>
          <w:caps w:val="0"/>
          <w:color w:val="auto"/>
          <w:kern w:val="28"/>
          <w:sz w:val="24"/>
          <w:szCs w:val="24"/>
          <w:highlight w:val="none"/>
          <w:u w:val="single"/>
        </w:rPr>
        <w:t xml:space="preserve">     </w:t>
      </w:r>
      <w:r>
        <w:rPr>
          <w:rFonts w:hint="eastAsia" w:ascii="宋体" w:hAnsi="宋体" w:cs="宋体"/>
          <w:caps w:val="0"/>
          <w:color w:val="auto"/>
          <w:kern w:val="28"/>
          <w:sz w:val="24"/>
          <w:szCs w:val="24"/>
          <w:highlight w:val="none"/>
        </w:rPr>
        <w:t>个日历天内；</w:t>
      </w:r>
    </w:p>
    <w:p w14:paraId="0BDC4029">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交付地点为：</w:t>
      </w:r>
      <w:r>
        <w:rPr>
          <w:rFonts w:hint="eastAsia" w:ascii="宋体" w:hAnsi="宋体" w:cs="宋体"/>
          <w:caps w:val="0"/>
          <w:color w:val="auto"/>
          <w:kern w:val="28"/>
          <w:sz w:val="24"/>
          <w:szCs w:val="24"/>
          <w:highlight w:val="none"/>
          <w:u w:val="single"/>
          <w:lang w:val="en-US" w:eastAsia="zh-CN"/>
        </w:rPr>
        <w:t xml:space="preserve">             </w:t>
      </w:r>
      <w:r>
        <w:rPr>
          <w:rFonts w:hint="eastAsia" w:ascii="宋体" w:hAnsi="宋体" w:cs="宋体"/>
          <w:caps w:val="0"/>
          <w:color w:val="auto"/>
          <w:kern w:val="28"/>
          <w:sz w:val="24"/>
          <w:szCs w:val="24"/>
          <w:highlight w:val="none"/>
        </w:rPr>
        <w:t>；</w:t>
      </w:r>
    </w:p>
    <w:p w14:paraId="490A3248">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质量保证期为：</w:t>
      </w:r>
      <w:r>
        <w:rPr>
          <w:rFonts w:hint="eastAsia" w:ascii="宋体" w:hAnsi="宋体" w:cs="宋体"/>
          <w:caps w:val="0"/>
          <w:color w:val="auto"/>
          <w:kern w:val="28"/>
          <w:sz w:val="24"/>
          <w:szCs w:val="24"/>
          <w:highlight w:val="none"/>
          <w:u w:val="single"/>
          <w:lang w:val="en-US" w:eastAsia="zh-CN"/>
        </w:rPr>
        <w:t xml:space="preserve">         </w:t>
      </w:r>
      <w:r>
        <w:rPr>
          <w:rFonts w:hint="eastAsia" w:ascii="宋体" w:hAnsi="宋体" w:cs="宋体"/>
          <w:caps w:val="0"/>
          <w:color w:val="auto"/>
          <w:kern w:val="28"/>
          <w:sz w:val="24"/>
          <w:szCs w:val="24"/>
          <w:highlight w:val="none"/>
        </w:rPr>
        <w:t>年。</w:t>
      </w:r>
    </w:p>
    <w:p w14:paraId="12D260C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三、合同文件及解释</w:t>
      </w:r>
      <w:bookmarkEnd w:id="21"/>
      <w:bookmarkEnd w:id="22"/>
      <w:bookmarkEnd w:id="23"/>
      <w:bookmarkEnd w:id="24"/>
      <w:bookmarkEnd w:id="25"/>
      <w:bookmarkEnd w:id="26"/>
      <w:bookmarkEnd w:id="27"/>
    </w:p>
    <w:p w14:paraId="480D75E1">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本合同与下列文件一起构成合同文件：</w:t>
      </w:r>
    </w:p>
    <w:p w14:paraId="26447563">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bookmarkStart w:id="28" w:name="_Toc476761653"/>
      <w:bookmarkStart w:id="29" w:name="_Toc466270650"/>
      <w:bookmarkStart w:id="30" w:name="_Toc465511116"/>
      <w:bookmarkStart w:id="31" w:name="_Toc465510858"/>
      <w:bookmarkStart w:id="32" w:name="_Toc465511161"/>
      <w:bookmarkStart w:id="33" w:name="_Toc468550422"/>
      <w:r>
        <w:rPr>
          <w:rFonts w:hint="eastAsia" w:ascii="宋体" w:hAnsi="宋体" w:cs="宋体"/>
          <w:caps w:val="0"/>
          <w:color w:val="auto"/>
          <w:kern w:val="28"/>
          <w:sz w:val="24"/>
          <w:szCs w:val="24"/>
          <w:highlight w:val="none"/>
        </w:rPr>
        <w:t>（1）本项目</w:t>
      </w:r>
      <w:r>
        <w:rPr>
          <w:rFonts w:hint="eastAsia" w:ascii="宋体" w:hAnsi="宋体" w:cs="宋体"/>
          <w:caps w:val="0"/>
          <w:color w:val="auto"/>
          <w:kern w:val="28"/>
          <w:sz w:val="24"/>
          <w:szCs w:val="24"/>
          <w:highlight w:val="none"/>
          <w:lang w:eastAsia="zh-CN"/>
        </w:rPr>
        <w:t>招标文件</w:t>
      </w:r>
      <w:r>
        <w:rPr>
          <w:rFonts w:hint="eastAsia" w:ascii="宋体" w:hAnsi="宋体" w:cs="宋体"/>
          <w:caps w:val="0"/>
          <w:color w:val="auto"/>
          <w:kern w:val="28"/>
          <w:sz w:val="24"/>
          <w:szCs w:val="24"/>
          <w:highlight w:val="none"/>
        </w:rPr>
        <w:t>、技术标准、规范、图纸与本项目相关的补疑、答疑等文件；</w:t>
      </w:r>
    </w:p>
    <w:p w14:paraId="53DDFAF6">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（2）本项目</w:t>
      </w:r>
      <w:r>
        <w:rPr>
          <w:rFonts w:hint="eastAsia" w:ascii="宋体" w:hAnsi="宋体" w:cs="宋体"/>
          <w:caps w:val="0"/>
          <w:color w:val="auto"/>
          <w:kern w:val="28"/>
          <w:sz w:val="24"/>
          <w:szCs w:val="24"/>
          <w:highlight w:val="none"/>
          <w:lang w:eastAsia="zh-CN"/>
        </w:rPr>
        <w:t>响应文件</w:t>
      </w:r>
      <w:r>
        <w:rPr>
          <w:rFonts w:hint="eastAsia" w:ascii="宋体" w:hAnsi="宋体" w:cs="宋体"/>
          <w:caps w:val="0"/>
          <w:color w:val="auto"/>
          <w:kern w:val="28"/>
          <w:sz w:val="24"/>
          <w:szCs w:val="24"/>
          <w:highlight w:val="none"/>
        </w:rPr>
        <w:t>；</w:t>
      </w:r>
    </w:p>
    <w:p w14:paraId="467A9994">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w:t>
      </w:r>
      <w:r>
        <w:rPr>
          <w:rFonts w:hint="eastAsia" w:ascii="宋体" w:hAnsi="宋体" w:cs="宋体"/>
          <w:caps w:val="0"/>
          <w:color w:val="auto"/>
          <w:kern w:val="28"/>
          <w:sz w:val="24"/>
          <w:szCs w:val="24"/>
          <w:highlight w:val="none"/>
          <w:lang w:val="en-US" w:eastAsia="zh-CN"/>
        </w:rPr>
        <w:t>投标</w:t>
      </w:r>
      <w:r>
        <w:rPr>
          <w:rFonts w:hint="eastAsia" w:ascii="宋体" w:hAnsi="宋体" w:cs="宋体"/>
          <w:caps w:val="0"/>
          <w:color w:val="auto"/>
          <w:kern w:val="28"/>
          <w:sz w:val="24"/>
          <w:szCs w:val="24"/>
          <w:highlight w:val="none"/>
        </w:rPr>
        <w:t>函及</w:t>
      </w:r>
      <w:r>
        <w:rPr>
          <w:rFonts w:hint="eastAsia" w:ascii="宋体" w:hAnsi="宋体" w:cs="宋体"/>
          <w:caps w:val="0"/>
          <w:color w:val="auto"/>
          <w:kern w:val="28"/>
          <w:sz w:val="24"/>
          <w:szCs w:val="24"/>
          <w:highlight w:val="none"/>
          <w:lang w:val="en-US" w:eastAsia="zh-CN"/>
        </w:rPr>
        <w:t>响应</w:t>
      </w:r>
      <w:r>
        <w:rPr>
          <w:rFonts w:hint="eastAsia" w:ascii="宋体" w:hAnsi="宋体" w:cs="宋体"/>
          <w:caps w:val="0"/>
          <w:color w:val="auto"/>
          <w:kern w:val="28"/>
          <w:sz w:val="24"/>
          <w:szCs w:val="24"/>
          <w:highlight w:val="none"/>
        </w:rPr>
        <w:t>函附录；</w:t>
      </w:r>
    </w:p>
    <w:p w14:paraId="229B5354">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（4）双方另行签订的补充协议及其他合同文件。</w:t>
      </w:r>
    </w:p>
    <w:p w14:paraId="0565C4D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上述合同文件互相补充和解释。如果合同文件之间存在矛盾或不一致之处，以上述文件的时间排列顺序为准，双方另行签订的补充协议及其他合同文件有效力顺序约定的执行其约定。</w:t>
      </w:r>
    </w:p>
    <w:p w14:paraId="2DAF2A6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四、合同价款、结算与支付</w:t>
      </w:r>
      <w:bookmarkEnd w:id="28"/>
      <w:bookmarkEnd w:id="29"/>
      <w:bookmarkEnd w:id="30"/>
      <w:bookmarkEnd w:id="31"/>
      <w:bookmarkEnd w:id="32"/>
      <w:bookmarkEnd w:id="33"/>
    </w:p>
    <w:p w14:paraId="7612623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1.总价款为：</w:t>
      </w:r>
    </w:p>
    <w:p w14:paraId="3717954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bCs/>
          <w:caps w:val="0"/>
          <w:color w:val="auto"/>
          <w:kern w:val="28"/>
          <w:sz w:val="24"/>
          <w:szCs w:val="24"/>
          <w:highlight w:val="none"/>
        </w:rPr>
        <w:t xml:space="preserve">大写人民币：  </w:t>
      </w:r>
      <w:r>
        <w:rPr>
          <w:rFonts w:hint="eastAsia" w:ascii="宋体" w:hAnsi="宋体" w:cs="宋体"/>
          <w:bCs/>
          <w:caps w:val="0"/>
          <w:color w:val="auto"/>
          <w:kern w:val="28"/>
          <w:sz w:val="24"/>
          <w:szCs w:val="24"/>
          <w:highlight w:val="none"/>
          <w:u w:val="single"/>
        </w:rPr>
        <w:t xml:space="preserve">                                   </w:t>
      </w:r>
      <w:r>
        <w:rPr>
          <w:rFonts w:hint="eastAsia" w:ascii="宋体" w:hAnsi="宋体" w:cs="宋体"/>
          <w:bCs/>
          <w:caps w:val="0"/>
          <w:color w:val="auto"/>
          <w:kern w:val="28"/>
          <w:sz w:val="24"/>
          <w:szCs w:val="24"/>
          <w:highlight w:val="none"/>
        </w:rPr>
        <w:t xml:space="preserve">     </w:t>
      </w:r>
    </w:p>
    <w:p w14:paraId="4C3CFEA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bCs/>
          <w:caps w:val="0"/>
          <w:color w:val="auto"/>
          <w:kern w:val="28"/>
          <w:sz w:val="24"/>
          <w:szCs w:val="24"/>
          <w:highlight w:val="none"/>
        </w:rPr>
        <w:t>小写RMB ￥：</w:t>
      </w:r>
      <w:r>
        <w:rPr>
          <w:rFonts w:hint="eastAsia" w:ascii="宋体" w:hAnsi="宋体" w:cs="宋体"/>
          <w:bCs/>
          <w:caps w:val="0"/>
          <w:color w:val="auto"/>
          <w:kern w:val="28"/>
          <w:sz w:val="24"/>
          <w:szCs w:val="24"/>
          <w:highlight w:val="none"/>
          <w:u w:val="single"/>
        </w:rPr>
        <w:t xml:space="preserve">                                </w:t>
      </w:r>
      <w:r>
        <w:rPr>
          <w:rFonts w:hint="eastAsia" w:ascii="宋体" w:hAnsi="宋体" w:cs="宋体"/>
          <w:bCs/>
          <w:caps w:val="0"/>
          <w:color w:val="auto"/>
          <w:kern w:val="28"/>
          <w:sz w:val="24"/>
          <w:szCs w:val="24"/>
          <w:highlight w:val="none"/>
        </w:rPr>
        <w:t xml:space="preserve">      </w:t>
      </w:r>
    </w:p>
    <w:p w14:paraId="30B7FAC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lang w:val="en-US" w:eastAsia="zh-CN"/>
        </w:rPr>
        <w:t>投标</w:t>
      </w:r>
      <w:r>
        <w:rPr>
          <w:rFonts w:hint="eastAsia" w:ascii="宋体" w:hAnsi="宋体" w:cs="宋体"/>
          <w:caps w:val="0"/>
          <w:color w:val="auto"/>
          <w:kern w:val="28"/>
          <w:sz w:val="24"/>
          <w:szCs w:val="24"/>
          <w:highlight w:val="none"/>
          <w:lang w:eastAsia="zh-CN"/>
        </w:rPr>
        <w:t>报价</w:t>
      </w:r>
      <w:r>
        <w:rPr>
          <w:rFonts w:hint="eastAsia" w:ascii="宋体" w:hAnsi="宋体" w:cs="宋体"/>
          <w:caps w:val="0"/>
          <w:color w:val="auto"/>
          <w:kern w:val="28"/>
          <w:sz w:val="24"/>
          <w:szCs w:val="24"/>
          <w:highlight w:val="none"/>
        </w:rPr>
        <w:t>应是完成</w:t>
      </w:r>
      <w:r>
        <w:rPr>
          <w:rFonts w:hint="eastAsia" w:ascii="宋体" w:hAnsi="宋体" w:cs="宋体"/>
          <w:caps w:val="0"/>
          <w:color w:val="auto"/>
          <w:kern w:val="28"/>
          <w:sz w:val="24"/>
          <w:szCs w:val="24"/>
          <w:highlight w:val="none"/>
          <w:lang w:eastAsia="zh-CN"/>
        </w:rPr>
        <w:t>采购</w:t>
      </w:r>
      <w:r>
        <w:rPr>
          <w:rFonts w:hint="eastAsia" w:ascii="宋体" w:hAnsi="宋体" w:cs="宋体"/>
          <w:caps w:val="0"/>
          <w:color w:val="auto"/>
          <w:kern w:val="28"/>
          <w:sz w:val="24"/>
          <w:szCs w:val="24"/>
          <w:highlight w:val="none"/>
        </w:rPr>
        <w:t>内容所需的全部费用，包括但不限于产品的报价及所发生的：以本</w:t>
      </w:r>
      <w:r>
        <w:rPr>
          <w:rFonts w:hint="eastAsia" w:ascii="宋体" w:hAnsi="宋体" w:cs="宋体"/>
          <w:caps w:val="0"/>
          <w:color w:val="auto"/>
          <w:kern w:val="28"/>
          <w:sz w:val="24"/>
          <w:szCs w:val="24"/>
          <w:highlight w:val="none"/>
          <w:lang w:eastAsia="zh-CN"/>
        </w:rPr>
        <w:t>招标文件</w:t>
      </w:r>
      <w:r>
        <w:rPr>
          <w:rFonts w:hint="eastAsia" w:ascii="宋体" w:hAnsi="宋体" w:cs="宋体"/>
          <w:caps w:val="0"/>
          <w:color w:val="auto"/>
          <w:kern w:val="28"/>
          <w:sz w:val="24"/>
          <w:szCs w:val="24"/>
          <w:highlight w:val="none"/>
        </w:rPr>
        <w:t>的内容和要求作为</w:t>
      </w:r>
      <w:r>
        <w:rPr>
          <w:rFonts w:hint="eastAsia" w:ascii="宋体" w:hAnsi="宋体" w:cs="宋体"/>
          <w:caps w:val="0"/>
          <w:color w:val="auto"/>
          <w:kern w:val="28"/>
          <w:sz w:val="24"/>
          <w:szCs w:val="24"/>
          <w:highlight w:val="none"/>
          <w:lang w:val="en-US" w:eastAsia="zh-CN"/>
        </w:rPr>
        <w:t>投标</w:t>
      </w:r>
      <w:r>
        <w:rPr>
          <w:rFonts w:hint="eastAsia" w:ascii="宋体" w:hAnsi="宋体" w:cs="宋体"/>
          <w:caps w:val="0"/>
          <w:color w:val="auto"/>
          <w:kern w:val="28"/>
          <w:sz w:val="24"/>
          <w:szCs w:val="24"/>
          <w:highlight w:val="none"/>
        </w:rPr>
        <w:t>依据。</w:t>
      </w:r>
    </w:p>
    <w:p w14:paraId="384F303A">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kern w:val="28"/>
          <w:sz w:val="24"/>
          <w:szCs w:val="24"/>
          <w:highlight w:val="none"/>
        </w:rPr>
        <w:t>单价所反映的内容同上，综合考虑在单价中。</w:t>
      </w:r>
    </w:p>
    <w:p w14:paraId="0431254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附件1：设备清单（可另付）</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60"/>
        <w:gridCol w:w="1559"/>
        <w:gridCol w:w="1417"/>
        <w:gridCol w:w="567"/>
        <w:gridCol w:w="709"/>
        <w:gridCol w:w="1134"/>
        <w:gridCol w:w="992"/>
        <w:gridCol w:w="709"/>
      </w:tblGrid>
      <w:tr w14:paraId="7E2D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75" w:type="dxa"/>
            <w:noWrap w:val="0"/>
            <w:vAlign w:val="center"/>
          </w:tcPr>
          <w:p w14:paraId="0DA0A97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序号</w:t>
            </w:r>
          </w:p>
        </w:tc>
        <w:tc>
          <w:tcPr>
            <w:tcW w:w="1560" w:type="dxa"/>
            <w:noWrap w:val="0"/>
            <w:vAlign w:val="center"/>
          </w:tcPr>
          <w:p w14:paraId="2BF61B1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产品名称</w:t>
            </w:r>
          </w:p>
        </w:tc>
        <w:tc>
          <w:tcPr>
            <w:tcW w:w="1559" w:type="dxa"/>
            <w:noWrap w:val="0"/>
            <w:vAlign w:val="center"/>
          </w:tcPr>
          <w:p w14:paraId="32CC838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规格型号</w:t>
            </w:r>
          </w:p>
        </w:tc>
        <w:tc>
          <w:tcPr>
            <w:tcW w:w="1417" w:type="dxa"/>
            <w:noWrap w:val="0"/>
            <w:vAlign w:val="center"/>
          </w:tcPr>
          <w:p w14:paraId="68B731C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品牌、</w:t>
            </w:r>
          </w:p>
          <w:p w14:paraId="32163BE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原产地</w:t>
            </w:r>
          </w:p>
        </w:tc>
        <w:tc>
          <w:tcPr>
            <w:tcW w:w="567" w:type="dxa"/>
            <w:noWrap w:val="0"/>
            <w:vAlign w:val="center"/>
          </w:tcPr>
          <w:p w14:paraId="5704DF6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单位</w:t>
            </w:r>
          </w:p>
        </w:tc>
        <w:tc>
          <w:tcPr>
            <w:tcW w:w="709" w:type="dxa"/>
            <w:noWrap w:val="0"/>
            <w:vAlign w:val="center"/>
          </w:tcPr>
          <w:p w14:paraId="5C52D1E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数量</w:t>
            </w:r>
          </w:p>
        </w:tc>
        <w:tc>
          <w:tcPr>
            <w:tcW w:w="1134" w:type="dxa"/>
            <w:noWrap w:val="0"/>
            <w:vAlign w:val="center"/>
          </w:tcPr>
          <w:p w14:paraId="30F4BF3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综合单价（元）</w:t>
            </w:r>
          </w:p>
        </w:tc>
        <w:tc>
          <w:tcPr>
            <w:tcW w:w="992" w:type="dxa"/>
            <w:noWrap w:val="0"/>
            <w:vAlign w:val="center"/>
          </w:tcPr>
          <w:p w14:paraId="1227270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合价（元）</w:t>
            </w:r>
          </w:p>
        </w:tc>
        <w:tc>
          <w:tcPr>
            <w:tcW w:w="709" w:type="dxa"/>
            <w:noWrap w:val="0"/>
            <w:vAlign w:val="center"/>
          </w:tcPr>
          <w:p w14:paraId="71530FA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备注</w:t>
            </w:r>
          </w:p>
        </w:tc>
      </w:tr>
      <w:tr w14:paraId="6BB5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06E4740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1</w:t>
            </w:r>
          </w:p>
        </w:tc>
        <w:tc>
          <w:tcPr>
            <w:tcW w:w="1560" w:type="dxa"/>
            <w:noWrap w:val="0"/>
            <w:vAlign w:val="center"/>
          </w:tcPr>
          <w:p w14:paraId="3C2F999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1559" w:type="dxa"/>
            <w:noWrap w:val="0"/>
            <w:vAlign w:val="center"/>
          </w:tcPr>
          <w:p w14:paraId="3FA238B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1417" w:type="dxa"/>
            <w:noWrap w:val="0"/>
            <w:vAlign w:val="center"/>
          </w:tcPr>
          <w:p w14:paraId="24FE564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1D12B49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1439270E">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23BE0875">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4BAE12C0">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398CA76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4F49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5297EC8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2</w:t>
            </w:r>
          </w:p>
        </w:tc>
        <w:tc>
          <w:tcPr>
            <w:tcW w:w="1560" w:type="dxa"/>
            <w:noWrap w:val="0"/>
            <w:vAlign w:val="center"/>
          </w:tcPr>
          <w:p w14:paraId="4972F90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0B95D05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417" w:type="dxa"/>
            <w:noWrap w:val="0"/>
            <w:vAlign w:val="center"/>
          </w:tcPr>
          <w:p w14:paraId="5418E8B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58455E1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4455951C">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299DABA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11EF4855">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563643A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6EBA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4D47204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3</w:t>
            </w:r>
          </w:p>
        </w:tc>
        <w:tc>
          <w:tcPr>
            <w:tcW w:w="1560" w:type="dxa"/>
            <w:noWrap w:val="0"/>
            <w:vAlign w:val="center"/>
          </w:tcPr>
          <w:p w14:paraId="61C83E2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6FCF7430">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0CAFC13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55A2B385">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74B500DB">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458383A0">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7FE2392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4B2088F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68E8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4A298CB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4</w:t>
            </w:r>
          </w:p>
        </w:tc>
        <w:tc>
          <w:tcPr>
            <w:tcW w:w="1560" w:type="dxa"/>
            <w:noWrap w:val="0"/>
            <w:vAlign w:val="center"/>
          </w:tcPr>
          <w:p w14:paraId="4240748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55F7DFF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6BCE89B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0B7B7906">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0391DBE6">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43D049C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5E527560">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3ABC5DD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32BB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35EF61F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5</w:t>
            </w:r>
          </w:p>
        </w:tc>
        <w:tc>
          <w:tcPr>
            <w:tcW w:w="1560" w:type="dxa"/>
            <w:noWrap w:val="0"/>
            <w:vAlign w:val="center"/>
          </w:tcPr>
          <w:p w14:paraId="17DA3F0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07A9623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29865B4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5DC21C8E">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2A18095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2770F87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398D31A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0F05D5E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1B71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2447DE9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6</w:t>
            </w:r>
          </w:p>
        </w:tc>
        <w:tc>
          <w:tcPr>
            <w:tcW w:w="1560" w:type="dxa"/>
            <w:noWrap w:val="0"/>
            <w:vAlign w:val="center"/>
          </w:tcPr>
          <w:p w14:paraId="08CC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5C9E6718">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09C25F3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33B46F0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28125F73">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581F93A3">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73C1B01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7835545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4166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54B3FEA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7</w:t>
            </w:r>
          </w:p>
        </w:tc>
        <w:tc>
          <w:tcPr>
            <w:tcW w:w="1560" w:type="dxa"/>
            <w:noWrap w:val="0"/>
            <w:vAlign w:val="center"/>
          </w:tcPr>
          <w:p w14:paraId="1FD298F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71FA56D9">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56AEF235">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67" w:type="dxa"/>
            <w:noWrap w:val="0"/>
            <w:vAlign w:val="center"/>
          </w:tcPr>
          <w:p w14:paraId="59DE2AAC">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0227A9C9">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53DEC4C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3475C62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4725DBA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471D4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170AAE2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8</w:t>
            </w:r>
          </w:p>
        </w:tc>
        <w:tc>
          <w:tcPr>
            <w:tcW w:w="1560" w:type="dxa"/>
            <w:noWrap w:val="0"/>
            <w:vAlign w:val="center"/>
          </w:tcPr>
          <w:p w14:paraId="5B429ADB">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170BC42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1F4692B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17DAACD0">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5BACB533">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0B9D1E8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5A756509">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54F8647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7DFA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51660A5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w:t>
            </w:r>
          </w:p>
        </w:tc>
        <w:tc>
          <w:tcPr>
            <w:tcW w:w="1560" w:type="dxa"/>
            <w:noWrap w:val="0"/>
            <w:vAlign w:val="center"/>
          </w:tcPr>
          <w:p w14:paraId="08BC65F7">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1559" w:type="dxa"/>
            <w:noWrap w:val="0"/>
            <w:vAlign w:val="center"/>
          </w:tcPr>
          <w:p w14:paraId="53829F70">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417" w:type="dxa"/>
            <w:noWrap w:val="0"/>
            <w:vAlign w:val="center"/>
          </w:tcPr>
          <w:p w14:paraId="0B24647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567" w:type="dxa"/>
            <w:noWrap w:val="0"/>
            <w:vAlign w:val="center"/>
          </w:tcPr>
          <w:p w14:paraId="20452558">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6C22811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6E668636">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992" w:type="dxa"/>
            <w:noWrap w:val="0"/>
            <w:vAlign w:val="center"/>
          </w:tcPr>
          <w:p w14:paraId="6734DA36">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09" w:type="dxa"/>
            <w:noWrap w:val="0"/>
            <w:vAlign w:val="center"/>
          </w:tcPr>
          <w:p w14:paraId="43714CC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1B01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gridSpan w:val="2"/>
            <w:noWrap w:val="0"/>
            <w:vAlign w:val="center"/>
          </w:tcPr>
          <w:p w14:paraId="453DD42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bCs/>
                <w:caps w:val="0"/>
                <w:color w:val="auto"/>
                <w:sz w:val="21"/>
                <w:szCs w:val="21"/>
                <w:highlight w:val="none"/>
              </w:rPr>
            </w:pPr>
            <w:r>
              <w:rPr>
                <w:rFonts w:hint="eastAsia" w:ascii="宋体" w:hAnsi="宋体" w:cs="宋体"/>
                <w:b/>
                <w:bCs/>
                <w:caps w:val="0"/>
                <w:color w:val="auto"/>
                <w:sz w:val="21"/>
                <w:szCs w:val="21"/>
                <w:highlight w:val="none"/>
              </w:rPr>
              <w:t>合计金额（元）</w:t>
            </w:r>
          </w:p>
        </w:tc>
        <w:tc>
          <w:tcPr>
            <w:tcW w:w="1559" w:type="dxa"/>
            <w:noWrap w:val="0"/>
            <w:vAlign w:val="center"/>
          </w:tcPr>
          <w:p w14:paraId="0A5DF75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大写</w:t>
            </w:r>
          </w:p>
        </w:tc>
        <w:tc>
          <w:tcPr>
            <w:tcW w:w="2693" w:type="dxa"/>
            <w:gridSpan w:val="3"/>
            <w:noWrap w:val="0"/>
            <w:vAlign w:val="center"/>
          </w:tcPr>
          <w:p w14:paraId="2F601DF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1134" w:type="dxa"/>
            <w:noWrap w:val="0"/>
            <w:vAlign w:val="center"/>
          </w:tcPr>
          <w:p w14:paraId="3E81BFF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小写</w:t>
            </w:r>
          </w:p>
        </w:tc>
        <w:tc>
          <w:tcPr>
            <w:tcW w:w="1701" w:type="dxa"/>
            <w:gridSpan w:val="2"/>
            <w:noWrap w:val="0"/>
            <w:vAlign w:val="center"/>
          </w:tcPr>
          <w:p w14:paraId="50347FC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 元</w:t>
            </w:r>
          </w:p>
        </w:tc>
      </w:tr>
    </w:tbl>
    <w:p w14:paraId="68D860C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附件2</w:t>
      </w:r>
      <w:r>
        <w:rPr>
          <w:rFonts w:hint="eastAsia" w:ascii="宋体" w:hAnsi="宋体" w:cs="宋体"/>
          <w:caps w:val="0"/>
          <w:color w:val="auto"/>
          <w:kern w:val="0"/>
          <w:sz w:val="24"/>
          <w:szCs w:val="24"/>
          <w:highlight w:val="none"/>
          <w:lang w:eastAsia="zh-CN"/>
        </w:rPr>
        <w:t>：</w:t>
      </w:r>
      <w:r>
        <w:rPr>
          <w:rFonts w:hint="eastAsia" w:ascii="宋体" w:hAnsi="宋体" w:cs="宋体"/>
          <w:caps w:val="0"/>
          <w:color w:val="auto"/>
          <w:kern w:val="0"/>
          <w:sz w:val="24"/>
          <w:szCs w:val="24"/>
          <w:highlight w:val="none"/>
        </w:rPr>
        <w:t>质量保证承诺（签订合同时具体拟定）</w:t>
      </w:r>
    </w:p>
    <w:p w14:paraId="76E27FB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附件3</w:t>
      </w:r>
      <w:r>
        <w:rPr>
          <w:rFonts w:hint="eastAsia" w:ascii="宋体" w:hAnsi="宋体" w:cs="宋体"/>
          <w:caps w:val="0"/>
          <w:color w:val="auto"/>
          <w:kern w:val="0"/>
          <w:sz w:val="24"/>
          <w:szCs w:val="24"/>
          <w:highlight w:val="none"/>
          <w:lang w:eastAsia="zh-CN"/>
        </w:rPr>
        <w:t>：</w:t>
      </w:r>
      <w:r>
        <w:rPr>
          <w:rFonts w:hint="eastAsia" w:ascii="宋体" w:hAnsi="宋体" w:cs="宋体"/>
          <w:caps w:val="0"/>
          <w:color w:val="auto"/>
          <w:kern w:val="0"/>
          <w:sz w:val="24"/>
          <w:szCs w:val="24"/>
          <w:highlight w:val="none"/>
        </w:rPr>
        <w:t>售后服务方案（签订合同时具体拟定）</w:t>
      </w:r>
    </w:p>
    <w:p w14:paraId="7E73A24A">
      <w:pPr>
        <w:keepNext w:val="0"/>
        <w:keepLines w:val="0"/>
        <w:pageBreakBefore w:val="0"/>
        <w:widowControl w:val="0"/>
        <w:shd w:val="clear" w:color="auto" w:fill="FFFFFF"/>
        <w:kinsoku/>
        <w:wordWrap/>
        <w:overflowPunct/>
        <w:topLinePunct w:val="0"/>
        <w:bidi w:val="0"/>
        <w:adjustRightInd w:val="0"/>
        <w:snapToGrid w:val="0"/>
        <w:spacing w:line="360" w:lineRule="auto"/>
        <w:ind w:left="36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2.支付方式</w:t>
      </w:r>
      <w:r>
        <w:rPr>
          <w:rFonts w:hint="eastAsia" w:ascii="宋体" w:hAnsi="宋体" w:cs="宋体"/>
          <w:caps w:val="0"/>
          <w:color w:val="auto"/>
          <w:kern w:val="28"/>
          <w:sz w:val="24"/>
          <w:szCs w:val="24"/>
          <w:highlight w:val="none"/>
          <w:lang w:eastAsia="zh-CN"/>
        </w:rPr>
        <w:t>：</w:t>
      </w:r>
      <w:r>
        <w:rPr>
          <w:rFonts w:hint="eastAsia" w:ascii="宋体" w:hAnsi="宋体" w:cs="宋体"/>
          <w:caps w:val="0"/>
          <w:color w:val="auto"/>
          <w:kern w:val="28"/>
          <w:sz w:val="24"/>
          <w:szCs w:val="24"/>
          <w:highlight w:val="none"/>
        </w:rPr>
        <w:t xml:space="preserve"> 合同款支付全部通过银行转账。  </w:t>
      </w:r>
    </w:p>
    <w:p w14:paraId="3587AAEC">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名     称：</w:t>
      </w:r>
      <w:r>
        <w:rPr>
          <w:rFonts w:hint="eastAsia" w:ascii="宋体" w:hAnsi="宋体" w:cs="宋体"/>
          <w:caps w:val="0"/>
          <w:color w:val="auto"/>
          <w:kern w:val="28"/>
          <w:sz w:val="24"/>
          <w:szCs w:val="24"/>
          <w:highlight w:val="none"/>
          <w:u w:val="single"/>
        </w:rPr>
        <w:t xml:space="preserve">                          </w:t>
      </w:r>
    </w:p>
    <w:p w14:paraId="037AE11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开  户 行：</w:t>
      </w:r>
      <w:r>
        <w:rPr>
          <w:rFonts w:hint="eastAsia" w:ascii="宋体" w:hAnsi="宋体" w:cs="宋体"/>
          <w:caps w:val="0"/>
          <w:color w:val="auto"/>
          <w:kern w:val="28"/>
          <w:sz w:val="24"/>
          <w:szCs w:val="24"/>
          <w:highlight w:val="none"/>
          <w:u w:val="single"/>
        </w:rPr>
        <w:t xml:space="preserve">                          </w:t>
      </w:r>
    </w:p>
    <w:p w14:paraId="5B4159A0">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账     号：</w:t>
      </w:r>
      <w:r>
        <w:rPr>
          <w:rFonts w:hint="eastAsia" w:ascii="宋体" w:hAnsi="宋体" w:cs="宋体"/>
          <w:caps w:val="0"/>
          <w:color w:val="auto"/>
          <w:kern w:val="28"/>
          <w:sz w:val="24"/>
          <w:szCs w:val="24"/>
          <w:highlight w:val="none"/>
          <w:u w:val="single"/>
        </w:rPr>
        <w:t xml:space="preserve">                          </w:t>
      </w:r>
    </w:p>
    <w:p w14:paraId="21F42ABA">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3.付款及结算方式</w:t>
      </w:r>
      <w:r>
        <w:rPr>
          <w:rFonts w:hint="eastAsia" w:ascii="宋体" w:hAnsi="宋体" w:cs="宋体"/>
          <w:caps w:val="0"/>
          <w:color w:val="auto"/>
          <w:kern w:val="28"/>
          <w:sz w:val="24"/>
          <w:szCs w:val="24"/>
          <w:highlight w:val="none"/>
          <w:lang w:eastAsia="zh-CN"/>
        </w:rPr>
        <w:t>：</w:t>
      </w:r>
      <w:r>
        <w:rPr>
          <w:rFonts w:hint="eastAsia" w:ascii="宋体" w:hAnsi="宋体" w:cs="宋体"/>
          <w:caps w:val="0"/>
          <w:color w:val="auto"/>
          <w:kern w:val="28"/>
          <w:sz w:val="24"/>
          <w:szCs w:val="24"/>
          <w:highlight w:val="none"/>
        </w:rPr>
        <w:t xml:space="preserve"> </w:t>
      </w:r>
      <w:r>
        <w:rPr>
          <w:rFonts w:hint="eastAsia" w:ascii="宋体" w:hAnsi="宋体" w:cs="宋体"/>
          <w:caps w:val="0"/>
          <w:color w:val="auto"/>
          <w:kern w:val="28"/>
          <w:sz w:val="24"/>
          <w:szCs w:val="24"/>
          <w:highlight w:val="none"/>
          <w:u w:val="single"/>
        </w:rPr>
        <w:t xml:space="preserve">                                                  </w:t>
      </w:r>
    </w:p>
    <w:p w14:paraId="489EE21C">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4.发票要求：每次付款时按照国家相关规定由乙方提供相应金额的正式增值税发票。不能提供的，甲方可解除合同并将追究其违约责任。</w:t>
      </w:r>
    </w:p>
    <w:p w14:paraId="0258408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bookmarkStart w:id="34" w:name="_Toc465510859"/>
      <w:bookmarkStart w:id="35" w:name="_Toc476761654"/>
      <w:bookmarkStart w:id="36" w:name="_Toc466270651"/>
      <w:bookmarkStart w:id="37" w:name="_Toc465511117"/>
      <w:bookmarkStart w:id="38" w:name="_Toc468550423"/>
      <w:bookmarkStart w:id="39" w:name="_Toc465511162"/>
      <w:r>
        <w:rPr>
          <w:rFonts w:hint="eastAsia" w:ascii="宋体" w:hAnsi="宋体" w:cs="宋体"/>
          <w:caps w:val="0"/>
          <w:color w:val="auto"/>
          <w:kern w:val="0"/>
          <w:sz w:val="24"/>
          <w:szCs w:val="24"/>
          <w:highlight w:val="none"/>
        </w:rPr>
        <w:t>五、权利与义务</w:t>
      </w:r>
      <w:bookmarkEnd w:id="34"/>
      <w:bookmarkEnd w:id="35"/>
      <w:bookmarkEnd w:id="36"/>
      <w:bookmarkEnd w:id="37"/>
      <w:bookmarkEnd w:id="38"/>
      <w:bookmarkEnd w:id="39"/>
      <w:bookmarkStart w:id="40" w:name="_Toc466270652"/>
      <w:bookmarkStart w:id="41" w:name="_Toc468550424"/>
      <w:bookmarkStart w:id="42" w:name="_Toc476761655"/>
      <w:bookmarkStart w:id="43" w:name="_Toc465511118"/>
      <w:bookmarkStart w:id="44" w:name="_Toc465510860"/>
      <w:bookmarkStart w:id="45" w:name="_Toc465511163"/>
    </w:p>
    <w:p w14:paraId="248236F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（一）甲方的权利与义务</w:t>
      </w:r>
      <w:bookmarkEnd w:id="40"/>
      <w:bookmarkEnd w:id="41"/>
      <w:bookmarkEnd w:id="42"/>
      <w:bookmarkEnd w:id="43"/>
      <w:bookmarkEnd w:id="44"/>
      <w:bookmarkEnd w:id="45"/>
    </w:p>
    <w:p w14:paraId="5D44D6B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0"/>
          <w:sz w:val="24"/>
          <w:szCs w:val="24"/>
          <w:highlight w:val="none"/>
        </w:rPr>
        <w:t>1．甲方有权要求</w:t>
      </w:r>
      <w:r>
        <w:rPr>
          <w:rFonts w:hint="eastAsia" w:ascii="宋体" w:hAnsi="宋体" w:cs="宋体"/>
          <w:caps w:val="0"/>
          <w:color w:val="auto"/>
          <w:kern w:val="28"/>
          <w:sz w:val="24"/>
          <w:szCs w:val="24"/>
          <w:highlight w:val="none"/>
        </w:rPr>
        <w:t>乙方供货的项目内容符合国家相关规范，符合国家验收标准，能够通过国家验收。</w:t>
      </w:r>
    </w:p>
    <w:p w14:paraId="626C94F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2．甲方有权要求乙方配合甲方完成所采购项目内容的预验收工作以及正式验收工作。</w:t>
      </w:r>
    </w:p>
    <w:p w14:paraId="5C1F814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3．甲方有权要求乙方提供的产品所涉及的第三方权利进行免责。</w:t>
      </w:r>
    </w:p>
    <w:p w14:paraId="23FE742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4、甲方有义务保证按合同所规定的内容及时间支付乙方相关费用。</w:t>
      </w:r>
    </w:p>
    <w:p w14:paraId="55655F9C">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5．甲方项目负责人为</w:t>
      </w:r>
      <w:r>
        <w:rPr>
          <w:rFonts w:hint="eastAsia" w:ascii="宋体" w:hAnsi="宋体" w:cs="宋体"/>
          <w:caps w:val="0"/>
          <w:color w:val="auto"/>
          <w:kern w:val="28"/>
          <w:sz w:val="24"/>
          <w:szCs w:val="24"/>
          <w:highlight w:val="none"/>
          <w:u w:val="single"/>
        </w:rPr>
        <w:t xml:space="preserve">         </w:t>
      </w:r>
      <w:r>
        <w:rPr>
          <w:rFonts w:hint="eastAsia" w:ascii="宋体" w:hAnsi="宋体" w:cs="宋体"/>
          <w:caps w:val="0"/>
          <w:color w:val="auto"/>
          <w:kern w:val="28"/>
          <w:sz w:val="24"/>
          <w:szCs w:val="24"/>
          <w:highlight w:val="none"/>
        </w:rPr>
        <w:t>。</w:t>
      </w:r>
    </w:p>
    <w:p w14:paraId="29FE5418">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6．协调乙方供货时与其他单位的关系。</w:t>
      </w:r>
    </w:p>
    <w:p w14:paraId="006D152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7．乙方不能按甲方要求及时供货，甲方有单方解除合同的权利。解除合同的同时，甲方有权利与</w:t>
      </w:r>
      <w:r>
        <w:rPr>
          <w:rFonts w:hint="eastAsia" w:ascii="宋体" w:hAnsi="宋体" w:cs="宋体"/>
          <w:caps w:val="0"/>
          <w:color w:val="auto"/>
          <w:kern w:val="28"/>
          <w:sz w:val="24"/>
          <w:szCs w:val="24"/>
          <w:highlight w:val="none"/>
          <w:lang w:eastAsia="zh-CN"/>
        </w:rPr>
        <w:t>评审</w:t>
      </w:r>
      <w:r>
        <w:rPr>
          <w:rFonts w:hint="eastAsia" w:ascii="宋体" w:hAnsi="宋体" w:cs="宋体"/>
          <w:caps w:val="0"/>
          <w:color w:val="auto"/>
          <w:kern w:val="28"/>
          <w:sz w:val="24"/>
          <w:szCs w:val="24"/>
          <w:highlight w:val="none"/>
        </w:rPr>
        <w:t>报告中排名第二的</w:t>
      </w:r>
      <w:r>
        <w:rPr>
          <w:rFonts w:hint="eastAsia" w:ascii="宋体" w:hAnsi="宋体" w:cs="宋体"/>
          <w:caps w:val="0"/>
          <w:color w:val="auto"/>
          <w:kern w:val="28"/>
          <w:sz w:val="24"/>
          <w:szCs w:val="24"/>
          <w:highlight w:val="none"/>
          <w:lang w:eastAsia="zh-CN"/>
        </w:rPr>
        <w:t>供应商</w:t>
      </w:r>
      <w:r>
        <w:rPr>
          <w:rFonts w:hint="eastAsia" w:ascii="宋体" w:hAnsi="宋体" w:cs="宋体"/>
          <w:caps w:val="0"/>
          <w:color w:val="auto"/>
          <w:kern w:val="28"/>
          <w:sz w:val="24"/>
          <w:szCs w:val="24"/>
          <w:highlight w:val="none"/>
        </w:rPr>
        <w:t>签订新的供货合同。</w:t>
      </w:r>
    </w:p>
    <w:p w14:paraId="110C3C2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8．因乙方原因供货延误，给甲方造成损失或被第三方要求索赔的，乙方应全额承担。</w:t>
      </w:r>
      <w:bookmarkStart w:id="46" w:name="_Toc468550425"/>
      <w:bookmarkStart w:id="47" w:name="_Toc465510861"/>
      <w:bookmarkStart w:id="48" w:name="_Toc466270653"/>
      <w:bookmarkStart w:id="49" w:name="_Toc465511164"/>
      <w:bookmarkStart w:id="50" w:name="_Toc465511119"/>
      <w:bookmarkStart w:id="51" w:name="_Toc476761656"/>
    </w:p>
    <w:p w14:paraId="5F3B36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（二）乙方的权利与义务</w:t>
      </w:r>
      <w:bookmarkEnd w:id="46"/>
      <w:bookmarkEnd w:id="47"/>
      <w:bookmarkEnd w:id="48"/>
      <w:bookmarkEnd w:id="49"/>
      <w:bookmarkEnd w:id="50"/>
      <w:bookmarkEnd w:id="51"/>
    </w:p>
    <w:p w14:paraId="53768BF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kern w:val="28"/>
          <w:sz w:val="24"/>
          <w:szCs w:val="24"/>
          <w:highlight w:val="none"/>
        </w:rPr>
        <w:t>1.乙方应</w:t>
      </w:r>
      <w:r>
        <w:rPr>
          <w:rFonts w:hint="eastAsia" w:ascii="宋体" w:hAnsi="宋体" w:cs="宋体"/>
          <w:caps w:val="0"/>
          <w:color w:val="auto"/>
          <w:sz w:val="24"/>
          <w:szCs w:val="24"/>
          <w:highlight w:val="none"/>
        </w:rPr>
        <w:t>按本合同的规定供货，并保证产品质量。</w:t>
      </w:r>
    </w:p>
    <w:p w14:paraId="3610206F">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2.乙方有义务配合甲方参与项目的预验收、正式竣工验收工作，并确保所供货物符合本项目国家现行标准。</w:t>
      </w:r>
    </w:p>
    <w:p w14:paraId="7A16A70B">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kern w:val="28"/>
          <w:sz w:val="24"/>
          <w:szCs w:val="24"/>
          <w:highlight w:val="none"/>
        </w:rPr>
        <w:t>3.乙方</w:t>
      </w:r>
      <w:r>
        <w:rPr>
          <w:rFonts w:hint="eastAsia" w:ascii="宋体" w:hAnsi="宋体" w:cs="宋体"/>
          <w:caps w:val="0"/>
          <w:color w:val="auto"/>
          <w:sz w:val="24"/>
          <w:szCs w:val="24"/>
          <w:highlight w:val="none"/>
        </w:rPr>
        <w:t>项目负责人为</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w:t>
      </w:r>
    </w:p>
    <w:p w14:paraId="4F370B60">
      <w:pPr>
        <w:pStyle w:val="8"/>
        <w:keepNext w:val="0"/>
        <w:keepLines w:val="0"/>
        <w:pageBreakBefore w:val="0"/>
        <w:widowControl w:val="0"/>
        <w:kinsoku/>
        <w:wordWrap/>
        <w:overflowPunct/>
        <w:topLinePunct w:val="0"/>
        <w:autoSpaceDN w:val="0"/>
        <w:bidi w:val="0"/>
        <w:adjustRightInd w:val="0"/>
        <w:snapToGrid w:val="0"/>
        <w:spacing w:line="360" w:lineRule="auto"/>
        <w:ind w:firstLine="48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4.乙方产品进场时应充分了解甲方的现场各项管理标准文件，并在进场后全面服从甲方的管理制度、管理细则等。</w:t>
      </w:r>
    </w:p>
    <w:p w14:paraId="1C4433E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5.遵守产品安装作业的有关规定，做好作业现场安全管理；协助甲方做好作业现场的安全保卫、防火防盗工作，确保作业顺利进行；接受甲方现场管理人员的监督和检查，保证作业质量和安全文明作业。</w:t>
      </w:r>
    </w:p>
    <w:p w14:paraId="317F182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6.按甲方指定地点将货物码放整齐，及时清运过程中产生的垃圾，保持现场整洁。</w:t>
      </w:r>
    </w:p>
    <w:p w14:paraId="5F075B2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7.在货物验收时，向买方提供《货物合格证》、《货物使用说明书》等技术文件。</w:t>
      </w:r>
    </w:p>
    <w:p w14:paraId="6DBF1C7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8.项目中所涉及的所有相关政府部门审批手续全部由乙方协调办理，且支付相关费用，甲方不再办理其相关手续及支付相关费用。</w:t>
      </w:r>
    </w:p>
    <w:p w14:paraId="36D13A9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9.质量保证期内发生质量问题的，应当免费及时进行更换或维修。</w:t>
      </w:r>
    </w:p>
    <w:p w14:paraId="2D98929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52" w:name="_Toc468550426"/>
      <w:bookmarkStart w:id="53" w:name="_Toc465511165"/>
      <w:bookmarkStart w:id="54" w:name="_Toc465510862"/>
      <w:bookmarkStart w:id="55" w:name="_Toc466270654"/>
      <w:bookmarkStart w:id="56" w:name="_Toc476761657"/>
      <w:bookmarkStart w:id="57" w:name="_Toc465511120"/>
      <w:r>
        <w:rPr>
          <w:rFonts w:hint="eastAsia" w:ascii="宋体" w:hAnsi="宋体" w:cs="宋体"/>
          <w:caps w:val="0"/>
          <w:color w:val="auto"/>
          <w:sz w:val="24"/>
          <w:szCs w:val="24"/>
          <w:highlight w:val="none"/>
        </w:rPr>
        <w:t>六、质量要求、技术标准</w:t>
      </w:r>
      <w:bookmarkEnd w:id="52"/>
      <w:bookmarkEnd w:id="53"/>
      <w:bookmarkEnd w:id="54"/>
      <w:bookmarkEnd w:id="55"/>
      <w:bookmarkEnd w:id="56"/>
      <w:bookmarkEnd w:id="57"/>
    </w:p>
    <w:p w14:paraId="0DE16DF2">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1.质量要求：作业达到合格标准且满足</w:t>
      </w:r>
      <w:r>
        <w:rPr>
          <w:rFonts w:hint="eastAsia" w:ascii="宋体" w:hAnsi="宋体" w:cs="宋体"/>
          <w:caps w:val="0"/>
          <w:color w:val="auto"/>
          <w:sz w:val="24"/>
          <w:szCs w:val="24"/>
          <w:highlight w:val="none"/>
          <w:lang w:eastAsia="zh-CN"/>
        </w:rPr>
        <w:t>采购人</w:t>
      </w:r>
      <w:r>
        <w:rPr>
          <w:rFonts w:hint="eastAsia" w:ascii="宋体" w:hAnsi="宋体" w:cs="宋体"/>
          <w:caps w:val="0"/>
          <w:color w:val="auto"/>
          <w:sz w:val="24"/>
          <w:szCs w:val="24"/>
          <w:highlight w:val="none"/>
        </w:rPr>
        <w:t>需求，并办理完毕所有政府行政审批手续，正常投入使用。</w:t>
      </w:r>
    </w:p>
    <w:p w14:paraId="7D455E8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所使用主要设备及材料在设计、制造、包装、运输过程中，严格执行国家及行业标准规范。</w:t>
      </w:r>
    </w:p>
    <w:p w14:paraId="7AC7D97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2.详见产品执行的国家技术标准。</w:t>
      </w:r>
    </w:p>
    <w:p w14:paraId="4B71F81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58" w:name="_Toc466270655"/>
      <w:bookmarkStart w:id="59" w:name="_Toc476761658"/>
      <w:bookmarkStart w:id="60" w:name="_Toc468550427"/>
      <w:bookmarkStart w:id="61" w:name="_Toc465511121"/>
      <w:bookmarkStart w:id="62" w:name="_Toc465510863"/>
      <w:bookmarkStart w:id="63" w:name="_Toc465511166"/>
      <w:r>
        <w:rPr>
          <w:rFonts w:hint="eastAsia" w:ascii="宋体" w:hAnsi="宋体" w:cs="宋体"/>
          <w:caps w:val="0"/>
          <w:color w:val="auto"/>
          <w:sz w:val="24"/>
          <w:szCs w:val="24"/>
          <w:highlight w:val="none"/>
        </w:rPr>
        <w:t>七、设备要求</w:t>
      </w:r>
      <w:bookmarkEnd w:id="58"/>
      <w:bookmarkEnd w:id="59"/>
      <w:bookmarkEnd w:id="60"/>
      <w:bookmarkEnd w:id="61"/>
      <w:bookmarkEnd w:id="62"/>
      <w:bookmarkEnd w:id="63"/>
    </w:p>
    <w:p w14:paraId="4FA7AB8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乙方应保证所提供的设备均为崭新的、合法的正品，其质量、规格和性能应完全满足合同约定要求。</w:t>
      </w:r>
    </w:p>
    <w:p w14:paraId="0D7D744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64" w:name="_Toc468550428"/>
      <w:bookmarkStart w:id="65" w:name="_Toc465511167"/>
      <w:bookmarkStart w:id="66" w:name="_Toc466270656"/>
      <w:bookmarkStart w:id="67" w:name="_Toc465511122"/>
      <w:bookmarkStart w:id="68" w:name="_Toc465510864"/>
      <w:bookmarkStart w:id="69" w:name="_Toc476761659"/>
      <w:r>
        <w:rPr>
          <w:rFonts w:hint="eastAsia" w:ascii="宋体" w:hAnsi="宋体" w:cs="宋体"/>
          <w:caps w:val="0"/>
          <w:color w:val="auto"/>
          <w:sz w:val="24"/>
          <w:szCs w:val="24"/>
          <w:highlight w:val="none"/>
        </w:rPr>
        <w:t>八、设备交货地点</w:t>
      </w:r>
      <w:bookmarkEnd w:id="64"/>
      <w:bookmarkEnd w:id="65"/>
      <w:bookmarkEnd w:id="66"/>
      <w:bookmarkEnd w:id="67"/>
      <w:bookmarkEnd w:id="68"/>
      <w:bookmarkEnd w:id="69"/>
    </w:p>
    <w:p w14:paraId="4E393F0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具体交货及安装地点由甲方指定（乙方负责运输，运费、运杂费及保险费已包括在合同总价内）。</w:t>
      </w:r>
    </w:p>
    <w:p w14:paraId="48D2DD6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70" w:name="_Toc465511123"/>
      <w:bookmarkStart w:id="71" w:name="_Toc465511168"/>
      <w:bookmarkStart w:id="72" w:name="_Toc476761660"/>
      <w:bookmarkStart w:id="73" w:name="_Toc465510865"/>
      <w:bookmarkStart w:id="74" w:name="_Toc466270657"/>
      <w:bookmarkStart w:id="75" w:name="_Toc468550429"/>
      <w:r>
        <w:rPr>
          <w:rFonts w:hint="eastAsia" w:ascii="宋体" w:hAnsi="宋体" w:cs="宋体"/>
          <w:caps w:val="0"/>
          <w:color w:val="auto"/>
          <w:sz w:val="24"/>
          <w:szCs w:val="24"/>
          <w:highlight w:val="none"/>
        </w:rPr>
        <w:t>九、货物验收</w:t>
      </w:r>
      <w:bookmarkEnd w:id="70"/>
      <w:bookmarkEnd w:id="71"/>
      <w:bookmarkEnd w:id="72"/>
      <w:bookmarkEnd w:id="73"/>
      <w:bookmarkEnd w:id="74"/>
      <w:bookmarkEnd w:id="75"/>
    </w:p>
    <w:p w14:paraId="0B46265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1.在发货前，乙方应对货物的质量、规格、数量等进行准确而全面的检验，并出具产品生产产地证明材料 (加盖公章)。</w:t>
      </w:r>
    </w:p>
    <w:p w14:paraId="299CF50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2.甲方将在供货单位交货现场可组织验收，如果货物达不到国家的质量及企业标准或与</w:t>
      </w:r>
      <w:r>
        <w:rPr>
          <w:rFonts w:hint="eastAsia" w:ascii="宋体" w:hAnsi="宋体" w:cs="宋体"/>
          <w:caps w:val="0"/>
          <w:color w:val="auto"/>
          <w:sz w:val="24"/>
          <w:szCs w:val="24"/>
          <w:highlight w:val="none"/>
          <w:lang w:val="en-US" w:eastAsia="zh-CN"/>
        </w:rPr>
        <w:t>投标</w:t>
      </w:r>
      <w:r>
        <w:rPr>
          <w:rFonts w:hint="eastAsia" w:ascii="宋体" w:hAnsi="宋体" w:cs="宋体"/>
          <w:caps w:val="0"/>
          <w:color w:val="auto"/>
          <w:sz w:val="24"/>
          <w:szCs w:val="24"/>
          <w:highlight w:val="none"/>
        </w:rPr>
        <w:t>时封存样品不符，甲方有权拒绝接收。</w:t>
      </w:r>
    </w:p>
    <w:p w14:paraId="309EC31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3.验收时未能出具甲方要求的证明材料的（包含但不限于产品能说明书、合格证等），甲方有权拒绝接收。</w:t>
      </w:r>
    </w:p>
    <w:p w14:paraId="6696FB2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4.需要安装调试的，必须在经过货物质量初验后进行安装和调试。安装调试时应当按照甲方相关要求进行。</w:t>
      </w:r>
    </w:p>
    <w:p w14:paraId="335DB77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76" w:name="_Toc465511124"/>
      <w:bookmarkStart w:id="77" w:name="_Toc465510866"/>
      <w:bookmarkStart w:id="78" w:name="_Toc465511169"/>
      <w:bookmarkStart w:id="79" w:name="_Toc468550430"/>
      <w:bookmarkStart w:id="80" w:name="_Toc466270658"/>
      <w:bookmarkStart w:id="81" w:name="_Toc476761661"/>
      <w:r>
        <w:rPr>
          <w:rFonts w:hint="eastAsia" w:ascii="宋体" w:hAnsi="宋体" w:cs="宋体"/>
          <w:caps w:val="0"/>
          <w:color w:val="auto"/>
          <w:sz w:val="24"/>
          <w:szCs w:val="24"/>
          <w:highlight w:val="none"/>
        </w:rPr>
        <w:t>十、保密条款</w:t>
      </w:r>
      <w:bookmarkEnd w:id="76"/>
      <w:bookmarkEnd w:id="77"/>
      <w:bookmarkEnd w:id="78"/>
      <w:bookmarkEnd w:id="79"/>
      <w:bookmarkEnd w:id="80"/>
      <w:bookmarkEnd w:id="81"/>
    </w:p>
    <w:p w14:paraId="00501E7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sz w:val="24"/>
          <w:szCs w:val="24"/>
          <w:highlight w:val="none"/>
        </w:rPr>
        <w:t>双方承诺，除非法律另有规定或双</w:t>
      </w:r>
      <w:r>
        <w:rPr>
          <w:rFonts w:hint="eastAsia" w:ascii="宋体" w:hAnsi="宋体" w:cs="宋体"/>
          <w:caps w:val="0"/>
          <w:color w:val="auto"/>
          <w:kern w:val="28"/>
          <w:sz w:val="24"/>
          <w:szCs w:val="24"/>
          <w:highlight w:val="none"/>
        </w:rPr>
        <w:t>方一致同意，任何一方不得将本协议的内容向第三方透露，否则，应向对方承担相应的违约责任。</w:t>
      </w:r>
    </w:p>
    <w:p w14:paraId="0BED62AF">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1.双方同意在本协议期限内或之后：</w:t>
      </w:r>
    </w:p>
    <w:p w14:paraId="4ADE8D70">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（1）只为本协议目的而使用属于对方的保密资料；</w:t>
      </w:r>
    </w:p>
    <w:p w14:paraId="45B1FCD8">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（2）在未得到对方书面同意之前，不将对方的保密资料披露给第三方；</w:t>
      </w:r>
    </w:p>
    <w:p w14:paraId="5187B1AC">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（3）如果披露方要求，接受方应立即将任何被要求退还的保密资料退还给披露方。</w:t>
      </w:r>
    </w:p>
    <w:p w14:paraId="1C873B8D">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本协议中，保密资料是指任何一方所有的与披露方现有的潜在的业务、运营或财务状况直接或间接有关的书面、演示、电子、或其他形式的资料（包括：价格、市场营销计划、客户名单、相关数据等），但不包括以下资料：</w:t>
      </w:r>
    </w:p>
    <w:p w14:paraId="1ACF045D">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（1）为公众所知的；</w:t>
      </w:r>
    </w:p>
    <w:p w14:paraId="6F788DD0">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（2）接受方通过没有保密义务的独立渠道合法获得的资料；</w:t>
      </w:r>
    </w:p>
    <w:p w14:paraId="64C04450">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（3）接受方在本协议保密条款签订之前已经知道的资料；</w:t>
      </w:r>
    </w:p>
    <w:p w14:paraId="12432F5F">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（4）因法律行为（包括诉讼、仲裁等行为）和执行国家政策的需要进行披露的资料。</w:t>
      </w:r>
    </w:p>
    <w:p w14:paraId="5C6E2D8E">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十一、其他特殊要求</w:t>
      </w:r>
    </w:p>
    <w:p w14:paraId="62C3AF09">
      <w:pPr>
        <w:keepNext w:val="0"/>
        <w:keepLines w:val="0"/>
        <w:pageBreakBefore w:val="0"/>
        <w:widowControl w:val="0"/>
        <w:shd w:val="clear" w:color="auto" w:fill="FFFFFF"/>
        <w:kinsoku/>
        <w:wordWrap/>
        <w:overflowPunct/>
        <w:topLinePunct w:val="0"/>
        <w:bidi w:val="0"/>
        <w:adjustRightInd w:val="0"/>
        <w:snapToGrid w:val="0"/>
        <w:spacing w:line="360" w:lineRule="auto"/>
        <w:ind w:firstLine="482" w:firstLineChars="200"/>
        <w:textAlignment w:val="auto"/>
        <w:rPr>
          <w:rFonts w:hint="eastAsia" w:ascii="宋体" w:hAnsi="宋体" w:cs="宋体"/>
          <w:b/>
          <w:caps w:val="0"/>
          <w:color w:val="auto"/>
          <w:sz w:val="24"/>
          <w:szCs w:val="24"/>
          <w:highlight w:val="none"/>
        </w:rPr>
      </w:pPr>
      <w:r>
        <w:rPr>
          <w:rFonts w:hint="eastAsia" w:ascii="宋体" w:hAnsi="宋体" w:cs="宋体"/>
          <w:b/>
          <w:caps w:val="0"/>
          <w:color w:val="auto"/>
          <w:sz w:val="24"/>
          <w:szCs w:val="24"/>
          <w:highlight w:val="none"/>
        </w:rPr>
        <w:t>1.安装、调试及培训：</w:t>
      </w:r>
      <w:r>
        <w:rPr>
          <w:rFonts w:hint="eastAsia" w:ascii="宋体" w:hAnsi="宋体" w:cs="宋体"/>
          <w:b/>
          <w:caps w:val="0"/>
          <w:color w:val="auto"/>
          <w:sz w:val="24"/>
          <w:szCs w:val="24"/>
          <w:highlight w:val="none"/>
          <w:u w:val="single"/>
        </w:rPr>
        <w:t xml:space="preserve">           </w:t>
      </w:r>
    </w:p>
    <w:p w14:paraId="3DBE2B89">
      <w:pPr>
        <w:keepNext w:val="0"/>
        <w:keepLines w:val="0"/>
        <w:pageBreakBefore w:val="0"/>
        <w:widowControl w:val="0"/>
        <w:shd w:val="clear" w:color="auto" w:fill="FFFFFF"/>
        <w:kinsoku/>
        <w:wordWrap/>
        <w:overflowPunct/>
        <w:topLinePunct w:val="0"/>
        <w:bidi w:val="0"/>
        <w:adjustRightInd w:val="0"/>
        <w:snapToGrid w:val="0"/>
        <w:spacing w:line="360" w:lineRule="auto"/>
        <w:ind w:firstLine="361" w:firstLineChars="150"/>
        <w:textAlignment w:val="auto"/>
        <w:rPr>
          <w:rFonts w:hint="eastAsia" w:ascii="宋体" w:hAnsi="宋体" w:cs="宋体"/>
          <w:b/>
          <w:caps w:val="0"/>
          <w:color w:val="auto"/>
          <w:sz w:val="24"/>
          <w:szCs w:val="24"/>
          <w:highlight w:val="none"/>
        </w:rPr>
      </w:pPr>
      <w:r>
        <w:rPr>
          <w:rFonts w:hint="eastAsia" w:ascii="宋体" w:hAnsi="宋体" w:cs="宋体"/>
          <w:b/>
          <w:caps w:val="0"/>
          <w:color w:val="auto"/>
          <w:sz w:val="24"/>
          <w:szCs w:val="24"/>
          <w:highlight w:val="none"/>
        </w:rPr>
        <w:t xml:space="preserve"> 2.设备质量要求： </w:t>
      </w:r>
      <w:r>
        <w:rPr>
          <w:rFonts w:hint="eastAsia" w:ascii="宋体" w:hAnsi="宋体" w:cs="宋体"/>
          <w:b/>
          <w:caps w:val="0"/>
          <w:color w:val="auto"/>
          <w:sz w:val="24"/>
          <w:szCs w:val="24"/>
          <w:highlight w:val="none"/>
          <w:u w:val="single"/>
        </w:rPr>
        <w:t xml:space="preserve">              </w:t>
      </w:r>
    </w:p>
    <w:p w14:paraId="74496889">
      <w:pPr>
        <w:keepNext w:val="0"/>
        <w:keepLines w:val="0"/>
        <w:pageBreakBefore w:val="0"/>
        <w:widowControl w:val="0"/>
        <w:shd w:val="clear" w:color="auto" w:fill="FFFFFF"/>
        <w:kinsoku/>
        <w:wordWrap/>
        <w:overflowPunct/>
        <w:topLinePunct w:val="0"/>
        <w:bidi w:val="0"/>
        <w:adjustRightInd w:val="0"/>
        <w:snapToGrid w:val="0"/>
        <w:spacing w:line="360" w:lineRule="auto"/>
        <w:ind w:firstLine="482" w:firstLineChars="200"/>
        <w:textAlignment w:val="auto"/>
        <w:rPr>
          <w:rFonts w:hint="eastAsia" w:ascii="宋体" w:hAnsi="宋体" w:cs="宋体"/>
          <w:b/>
          <w:caps w:val="0"/>
          <w:color w:val="auto"/>
          <w:sz w:val="24"/>
          <w:szCs w:val="24"/>
          <w:highlight w:val="none"/>
        </w:rPr>
      </w:pPr>
      <w:r>
        <w:rPr>
          <w:rFonts w:hint="eastAsia" w:ascii="宋体" w:hAnsi="宋体" w:cs="宋体"/>
          <w:b/>
          <w:caps w:val="0"/>
          <w:color w:val="auto"/>
          <w:sz w:val="24"/>
          <w:szCs w:val="24"/>
          <w:highlight w:val="none"/>
        </w:rPr>
        <w:t>3.设备验收：</w:t>
      </w:r>
      <w:r>
        <w:rPr>
          <w:rFonts w:hint="eastAsia" w:ascii="宋体" w:hAnsi="宋体" w:cs="宋体"/>
          <w:b/>
          <w:caps w:val="0"/>
          <w:color w:val="auto"/>
          <w:sz w:val="24"/>
          <w:szCs w:val="24"/>
          <w:highlight w:val="none"/>
          <w:u w:val="single"/>
        </w:rPr>
        <w:t xml:space="preserve">            </w:t>
      </w:r>
      <w:r>
        <w:rPr>
          <w:rFonts w:ascii="宋体" w:hAnsi="宋体" w:cs="宋体"/>
          <w:b/>
          <w:caps w:val="0"/>
          <w:color w:val="auto"/>
          <w:sz w:val="24"/>
          <w:szCs w:val="24"/>
          <w:highlight w:val="none"/>
          <w:u w:val="single"/>
        </w:rPr>
        <w:t xml:space="preserve">     </w:t>
      </w:r>
      <w:r>
        <w:rPr>
          <w:rFonts w:hint="eastAsia" w:ascii="宋体" w:hAnsi="宋体" w:cs="宋体"/>
          <w:b/>
          <w:caps w:val="0"/>
          <w:color w:val="auto"/>
          <w:sz w:val="24"/>
          <w:szCs w:val="24"/>
          <w:highlight w:val="none"/>
          <w:u w:val="single"/>
        </w:rPr>
        <w:t xml:space="preserve">  </w:t>
      </w:r>
    </w:p>
    <w:p w14:paraId="106A0C6C">
      <w:pPr>
        <w:keepNext w:val="0"/>
        <w:keepLines w:val="0"/>
        <w:pageBreakBefore w:val="0"/>
        <w:widowControl w:val="0"/>
        <w:shd w:val="clear" w:color="auto" w:fill="FFFFFF"/>
        <w:kinsoku/>
        <w:wordWrap/>
        <w:overflowPunct/>
        <w:topLinePunct w:val="0"/>
        <w:bidi w:val="0"/>
        <w:adjustRightInd w:val="0"/>
        <w:snapToGrid w:val="0"/>
        <w:spacing w:line="360" w:lineRule="auto"/>
        <w:ind w:firstLine="361" w:firstLineChars="150"/>
        <w:textAlignment w:val="auto"/>
        <w:rPr>
          <w:rFonts w:hint="eastAsia" w:ascii="宋体" w:hAnsi="宋体" w:cs="宋体"/>
          <w:b/>
          <w:caps w:val="0"/>
          <w:color w:val="auto"/>
          <w:sz w:val="24"/>
          <w:szCs w:val="24"/>
          <w:highlight w:val="none"/>
        </w:rPr>
      </w:pPr>
      <w:r>
        <w:rPr>
          <w:rFonts w:hint="eastAsia" w:ascii="宋体" w:hAnsi="宋体" w:cs="宋体"/>
          <w:b/>
          <w:caps w:val="0"/>
          <w:color w:val="auto"/>
          <w:sz w:val="24"/>
          <w:szCs w:val="24"/>
          <w:highlight w:val="none"/>
        </w:rPr>
        <w:t xml:space="preserve"> 4.安全管理：</w:t>
      </w:r>
      <w:r>
        <w:rPr>
          <w:rFonts w:hint="eastAsia" w:ascii="宋体" w:hAnsi="宋体" w:cs="宋体"/>
          <w:b/>
          <w:caps w:val="0"/>
          <w:color w:val="auto"/>
          <w:sz w:val="24"/>
          <w:szCs w:val="24"/>
          <w:highlight w:val="none"/>
          <w:u w:val="single"/>
        </w:rPr>
        <w:t xml:space="preserve">             </w:t>
      </w:r>
      <w:r>
        <w:rPr>
          <w:rFonts w:ascii="宋体" w:hAnsi="宋体" w:cs="宋体"/>
          <w:b/>
          <w:caps w:val="0"/>
          <w:color w:val="auto"/>
          <w:sz w:val="24"/>
          <w:szCs w:val="24"/>
          <w:highlight w:val="none"/>
          <w:u w:val="single"/>
        </w:rPr>
        <w:t xml:space="preserve">   </w:t>
      </w:r>
      <w:r>
        <w:rPr>
          <w:rFonts w:hint="eastAsia" w:ascii="宋体" w:hAnsi="宋体" w:cs="宋体"/>
          <w:b/>
          <w:caps w:val="0"/>
          <w:color w:val="auto"/>
          <w:sz w:val="24"/>
          <w:szCs w:val="24"/>
          <w:highlight w:val="none"/>
          <w:u w:val="single"/>
        </w:rPr>
        <w:t xml:space="preserve">   </w:t>
      </w:r>
    </w:p>
    <w:p w14:paraId="0DC05A3F">
      <w:pPr>
        <w:keepNext w:val="0"/>
        <w:keepLines w:val="0"/>
        <w:pageBreakBefore w:val="0"/>
        <w:widowControl w:val="0"/>
        <w:shd w:val="clear" w:color="auto" w:fill="FFFFFF"/>
        <w:kinsoku/>
        <w:wordWrap/>
        <w:overflowPunct/>
        <w:topLinePunct w:val="0"/>
        <w:bidi w:val="0"/>
        <w:adjustRightInd w:val="0"/>
        <w:snapToGrid w:val="0"/>
        <w:spacing w:line="360" w:lineRule="auto"/>
        <w:ind w:firstLine="482" w:firstLineChars="200"/>
        <w:textAlignment w:val="auto"/>
        <w:rPr>
          <w:rFonts w:hint="eastAsia" w:ascii="宋体" w:hAnsi="宋体" w:cs="宋体"/>
          <w:b/>
          <w:caps w:val="0"/>
          <w:color w:val="auto"/>
          <w:sz w:val="24"/>
          <w:szCs w:val="24"/>
          <w:highlight w:val="none"/>
        </w:rPr>
      </w:pPr>
      <w:r>
        <w:rPr>
          <w:rFonts w:hint="eastAsia" w:ascii="宋体" w:hAnsi="宋体" w:cs="宋体"/>
          <w:b/>
          <w:caps w:val="0"/>
          <w:color w:val="auto"/>
          <w:sz w:val="24"/>
          <w:szCs w:val="24"/>
          <w:highlight w:val="none"/>
        </w:rPr>
        <w:t>……</w:t>
      </w:r>
    </w:p>
    <w:p w14:paraId="3250A0C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82" w:name="_Toc465510867"/>
      <w:bookmarkStart w:id="83" w:name="_Toc476761662"/>
      <w:bookmarkStart w:id="84" w:name="_Toc466270659"/>
      <w:bookmarkStart w:id="85" w:name="_Toc465511125"/>
      <w:bookmarkStart w:id="86" w:name="_Toc468550431"/>
      <w:bookmarkStart w:id="87" w:name="_Toc465511170"/>
      <w:r>
        <w:rPr>
          <w:rFonts w:hint="eastAsia" w:ascii="宋体" w:hAnsi="宋体" w:cs="宋体"/>
          <w:caps w:val="0"/>
          <w:color w:val="auto"/>
          <w:sz w:val="24"/>
          <w:szCs w:val="24"/>
          <w:highlight w:val="none"/>
        </w:rPr>
        <w:t>十二、违约责任</w:t>
      </w:r>
      <w:bookmarkEnd w:id="82"/>
      <w:bookmarkEnd w:id="83"/>
      <w:bookmarkEnd w:id="84"/>
      <w:bookmarkEnd w:id="85"/>
      <w:bookmarkEnd w:id="86"/>
      <w:bookmarkEnd w:id="87"/>
    </w:p>
    <w:p w14:paraId="3BCF986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1.交货期（含安装、调试）推迟的，每延迟1日，应按合同总价款的1%向甲方支付违约金，因不可抗力或经甲方同意除外。</w:t>
      </w:r>
    </w:p>
    <w:p w14:paraId="3B7883D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2.如乙方产品质量不符合国家标准或未达到本企业内控标准，甲方有权退货，并且乙方应承担甲方合同总价款的20％的违约金并赔偿其他损失。</w:t>
      </w:r>
    </w:p>
    <w:p w14:paraId="7E5E228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3.质量保证期内因产品质量问题，乙方未按合同规定及时进行维修、更换，甲方可自行组织人员进行维修、更换，因此造成的相关责任、费用由乙方承担。</w:t>
      </w:r>
    </w:p>
    <w:p w14:paraId="7C63B86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4.乙方对材料不按</w:t>
      </w:r>
      <w:r>
        <w:rPr>
          <w:rFonts w:hint="eastAsia" w:ascii="宋体" w:hAnsi="宋体" w:cs="宋体"/>
          <w:caps w:val="0"/>
          <w:color w:val="auto"/>
          <w:sz w:val="24"/>
          <w:szCs w:val="24"/>
          <w:highlight w:val="none"/>
          <w:lang w:eastAsia="zh-CN"/>
        </w:rPr>
        <w:t>招标文件</w:t>
      </w:r>
      <w:r>
        <w:rPr>
          <w:rFonts w:hint="eastAsia" w:ascii="宋体" w:hAnsi="宋体" w:cs="宋体"/>
          <w:caps w:val="0"/>
          <w:color w:val="auto"/>
          <w:sz w:val="24"/>
          <w:szCs w:val="24"/>
          <w:highlight w:val="none"/>
        </w:rPr>
        <w:t>要求，擅自更换，除恢复原</w:t>
      </w:r>
      <w:r>
        <w:rPr>
          <w:rFonts w:hint="eastAsia" w:ascii="宋体" w:hAnsi="宋体" w:cs="宋体"/>
          <w:caps w:val="0"/>
          <w:color w:val="auto"/>
          <w:sz w:val="24"/>
          <w:szCs w:val="24"/>
          <w:highlight w:val="none"/>
          <w:lang w:eastAsia="zh-CN"/>
        </w:rPr>
        <w:t>采购</w:t>
      </w:r>
      <w:r>
        <w:rPr>
          <w:rFonts w:hint="eastAsia" w:ascii="宋体" w:hAnsi="宋体" w:cs="宋体"/>
          <w:caps w:val="0"/>
          <w:color w:val="auto"/>
          <w:sz w:val="24"/>
          <w:szCs w:val="24"/>
          <w:highlight w:val="none"/>
        </w:rPr>
        <w:t>产品外，应承担更换部分价款50%的违约金。</w:t>
      </w:r>
    </w:p>
    <w:p w14:paraId="056F719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5.乙方如对材料以次充好，除全部按要求恢复外，应承担此部分价款50%的违约金。</w:t>
      </w:r>
    </w:p>
    <w:p w14:paraId="29ADE7E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6.如由于产品质量原因，不能通过验收，乙方除按规定无偿更换外，应承担所涉及产品总价款的50％违约金。</w:t>
      </w:r>
    </w:p>
    <w:p w14:paraId="361A65C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7.乙方负责现场作业人员及其他人员安全。如因乙方原因造成人员伤亡或财产损失，由乙方负责并承担一切赔偿责任。甲方有权追究乙方的违约责任。</w:t>
      </w:r>
    </w:p>
    <w:p w14:paraId="220726D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88" w:name="_Toc465510868"/>
      <w:bookmarkStart w:id="89" w:name="_Toc466270660"/>
      <w:bookmarkStart w:id="90" w:name="_Toc465511126"/>
      <w:bookmarkStart w:id="91" w:name="_Toc465511171"/>
      <w:bookmarkStart w:id="92" w:name="_Toc476761663"/>
      <w:bookmarkStart w:id="93" w:name="_Toc468550432"/>
      <w:r>
        <w:rPr>
          <w:rFonts w:hint="eastAsia" w:ascii="宋体" w:hAnsi="宋体" w:cs="宋体"/>
          <w:caps w:val="0"/>
          <w:color w:val="auto"/>
          <w:sz w:val="24"/>
          <w:szCs w:val="24"/>
          <w:highlight w:val="none"/>
        </w:rPr>
        <w:t>十三、争议解决</w:t>
      </w:r>
      <w:bookmarkEnd w:id="88"/>
      <w:bookmarkEnd w:id="89"/>
      <w:bookmarkEnd w:id="90"/>
      <w:bookmarkEnd w:id="91"/>
      <w:bookmarkEnd w:id="92"/>
      <w:bookmarkEnd w:id="93"/>
    </w:p>
    <w:p w14:paraId="1731F23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合同各方应本着诚信的态度及共同合作的精神，通过协商及谈判来努力解决由本合同而产生的或</w:t>
      </w:r>
      <w:r>
        <w:rPr>
          <w:rFonts w:hint="eastAsia" w:ascii="宋体" w:hAnsi="宋体" w:cs="宋体"/>
          <w:caps w:val="0"/>
          <w:color w:val="auto"/>
          <w:kern w:val="28"/>
          <w:sz w:val="24"/>
          <w:szCs w:val="24"/>
          <w:highlight w:val="none"/>
        </w:rPr>
        <w:t>与本合同有关（包括本合同项下某一特定货物买卖合同）的任何争议及不同意见。协商、谈判不能解决的，如任何一方通过诉讼解决由</w:t>
      </w:r>
      <w:r>
        <w:rPr>
          <w:rFonts w:hint="eastAsia" w:ascii="宋体" w:hAnsi="宋体" w:cs="宋体"/>
          <w:caps w:val="0"/>
          <w:color w:val="auto"/>
          <w:sz w:val="24"/>
          <w:szCs w:val="24"/>
          <w:highlight w:val="none"/>
        </w:rPr>
        <w:t>甲方所在地人民法院管辖。</w:t>
      </w:r>
    </w:p>
    <w:p w14:paraId="5510B1C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94" w:name="_Toc465510869"/>
      <w:bookmarkStart w:id="95" w:name="_Toc465511172"/>
      <w:bookmarkStart w:id="96" w:name="_Toc466270661"/>
      <w:bookmarkStart w:id="97" w:name="_Toc468550433"/>
      <w:bookmarkStart w:id="98" w:name="_Toc465511127"/>
      <w:bookmarkStart w:id="99" w:name="_Toc476761664"/>
      <w:r>
        <w:rPr>
          <w:rFonts w:hint="eastAsia" w:ascii="宋体" w:hAnsi="宋体" w:cs="宋体"/>
          <w:caps w:val="0"/>
          <w:color w:val="auto"/>
          <w:sz w:val="24"/>
          <w:szCs w:val="24"/>
          <w:highlight w:val="none"/>
        </w:rPr>
        <w:t>十三、协议期限</w:t>
      </w:r>
      <w:bookmarkEnd w:id="94"/>
      <w:bookmarkEnd w:id="95"/>
      <w:bookmarkEnd w:id="96"/>
      <w:bookmarkEnd w:id="97"/>
      <w:bookmarkEnd w:id="98"/>
      <w:bookmarkEnd w:id="99"/>
    </w:p>
    <w:p w14:paraId="7D710F1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w:t>
      </w:r>
      <w:r>
        <w:rPr>
          <w:rFonts w:hint="eastAsia" w:ascii="宋体" w:hAnsi="宋体" w:cs="宋体"/>
          <w:caps w:val="0"/>
          <w:color w:val="auto"/>
          <w:spacing w:val="10"/>
          <w:sz w:val="24"/>
          <w:szCs w:val="24"/>
          <w:highlight w:val="none"/>
        </w:rPr>
        <w:t>合同经</w:t>
      </w:r>
      <w:r>
        <w:rPr>
          <w:rFonts w:hint="eastAsia" w:ascii="宋体" w:hAnsi="宋体" w:cs="宋体"/>
          <w:caps w:val="0"/>
          <w:color w:val="auto"/>
          <w:sz w:val="24"/>
          <w:szCs w:val="24"/>
          <w:highlight w:val="none"/>
        </w:rPr>
        <w:t>甲乙</w:t>
      </w:r>
      <w:r>
        <w:rPr>
          <w:rFonts w:hint="eastAsia" w:ascii="宋体" w:hAnsi="宋体" w:cs="宋体"/>
          <w:caps w:val="0"/>
          <w:color w:val="auto"/>
          <w:spacing w:val="10"/>
          <w:sz w:val="24"/>
          <w:szCs w:val="24"/>
          <w:highlight w:val="none"/>
        </w:rPr>
        <w:t>双方法定代表人或者代表人签字并加盖公章(或合同章)即行生效。</w:t>
      </w:r>
    </w:p>
    <w:p w14:paraId="274C3D6C">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2.合同签订后双方即直接产生权利与义务的关系，合同执行过程中出现的问题应按照合同法等有关规定办理。</w:t>
      </w:r>
    </w:p>
    <w:p w14:paraId="5D66A9E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3.合同在执行过程中出现的未尽事宜，双方在不违背本合同和</w:t>
      </w:r>
      <w:r>
        <w:rPr>
          <w:rFonts w:hint="eastAsia" w:ascii="宋体" w:hAnsi="宋体" w:cs="宋体"/>
          <w:caps w:val="0"/>
          <w:color w:val="auto"/>
          <w:sz w:val="24"/>
          <w:szCs w:val="24"/>
          <w:highlight w:val="none"/>
          <w:lang w:eastAsia="zh-CN"/>
        </w:rPr>
        <w:t>招标文件</w:t>
      </w:r>
      <w:r>
        <w:rPr>
          <w:rFonts w:hint="eastAsia" w:ascii="宋体" w:hAnsi="宋体" w:cs="宋体"/>
          <w:caps w:val="0"/>
          <w:color w:val="auto"/>
          <w:sz w:val="24"/>
          <w:szCs w:val="24"/>
          <w:highlight w:val="none"/>
        </w:rPr>
        <w:t>的原则下协商解决，协商结果以“纪要”形式盖章记录在案，作为本合同的附件。</w:t>
      </w:r>
    </w:p>
    <w:p w14:paraId="6F86BBBC">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100" w:name="_Toc465510870"/>
      <w:bookmarkStart w:id="101" w:name="_Toc476761665"/>
      <w:bookmarkStart w:id="102" w:name="_Toc468550434"/>
      <w:bookmarkStart w:id="103" w:name="_Toc465511173"/>
      <w:bookmarkStart w:id="104" w:name="_Toc465511128"/>
      <w:bookmarkStart w:id="105" w:name="_Toc466270662"/>
      <w:r>
        <w:rPr>
          <w:rFonts w:hint="eastAsia" w:ascii="宋体" w:hAnsi="宋体" w:cs="宋体"/>
          <w:caps w:val="0"/>
          <w:color w:val="auto"/>
          <w:sz w:val="24"/>
          <w:szCs w:val="24"/>
          <w:highlight w:val="none"/>
        </w:rPr>
        <w:t>十四、不可抗力</w:t>
      </w:r>
      <w:bookmarkEnd w:id="100"/>
      <w:bookmarkEnd w:id="101"/>
      <w:bookmarkEnd w:id="102"/>
      <w:bookmarkEnd w:id="103"/>
      <w:bookmarkEnd w:id="104"/>
      <w:bookmarkEnd w:id="105"/>
    </w:p>
    <w:p w14:paraId="033F57EA">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129039E5">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71E410A">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3.如不可抗力时间延续120天以上的，各方通过协商达成在合理的时间内继续履行合同，或部分履行合同，或终止合同的履行。</w:t>
      </w:r>
    </w:p>
    <w:p w14:paraId="44C823ED">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4.一方迟延履行后发生不可抗力的，不能免除责任。</w:t>
      </w:r>
    </w:p>
    <w:p w14:paraId="7A15CB5F">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bookmarkStart w:id="106" w:name="_Toc476761666"/>
      <w:bookmarkStart w:id="107" w:name="_Toc465511174"/>
      <w:bookmarkStart w:id="108" w:name="_Toc466270663"/>
      <w:bookmarkStart w:id="109" w:name="_Toc468550435"/>
      <w:bookmarkStart w:id="110" w:name="_Toc465511129"/>
      <w:bookmarkStart w:id="111" w:name="_Toc465510871"/>
      <w:r>
        <w:rPr>
          <w:rFonts w:hint="eastAsia" w:ascii="宋体" w:hAnsi="宋体" w:cs="宋体"/>
          <w:caps w:val="0"/>
          <w:color w:val="auto"/>
          <w:kern w:val="28"/>
          <w:sz w:val="24"/>
          <w:szCs w:val="24"/>
          <w:highlight w:val="none"/>
        </w:rPr>
        <w:t>十五、通知和合同修改</w:t>
      </w:r>
      <w:bookmarkEnd w:id="106"/>
      <w:bookmarkEnd w:id="107"/>
      <w:bookmarkEnd w:id="108"/>
      <w:bookmarkEnd w:id="109"/>
      <w:bookmarkEnd w:id="110"/>
      <w:bookmarkEnd w:id="111"/>
    </w:p>
    <w:p w14:paraId="167D3A69">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本合同一方给另一方的通知，都应以书面的形式（信函、传真）发送至对方，对本合同条款进行任何改动，均须由甲乙双方签署书面合同修改签证，方为有效。</w:t>
      </w:r>
    </w:p>
    <w:p w14:paraId="4D263AFC">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bookmarkStart w:id="112" w:name="_Toc465511175"/>
      <w:bookmarkStart w:id="113" w:name="_Toc465511130"/>
      <w:bookmarkStart w:id="114" w:name="_Toc468550436"/>
      <w:bookmarkStart w:id="115" w:name="_Toc465510872"/>
      <w:bookmarkStart w:id="116" w:name="_Toc476761667"/>
      <w:bookmarkStart w:id="117" w:name="_Toc466270664"/>
      <w:r>
        <w:rPr>
          <w:rFonts w:hint="eastAsia" w:ascii="宋体" w:hAnsi="宋体" w:cs="宋体"/>
          <w:caps w:val="0"/>
          <w:color w:val="auto"/>
          <w:kern w:val="28"/>
          <w:sz w:val="24"/>
          <w:szCs w:val="24"/>
          <w:highlight w:val="none"/>
        </w:rPr>
        <w:t>十六、其他规定</w:t>
      </w:r>
      <w:bookmarkEnd w:id="112"/>
      <w:bookmarkEnd w:id="113"/>
      <w:bookmarkEnd w:id="114"/>
      <w:bookmarkEnd w:id="115"/>
      <w:bookmarkEnd w:id="116"/>
      <w:bookmarkEnd w:id="117"/>
    </w:p>
    <w:p w14:paraId="5B268E67">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50DC05CA">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本合同甲、乙双方均同意以上条款内容。</w:t>
      </w:r>
    </w:p>
    <w:p w14:paraId="2463080C">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本合同正本</w:t>
      </w:r>
      <w:r>
        <w:rPr>
          <w:rFonts w:hint="eastAsia" w:ascii="宋体" w:hAnsi="宋体" w:cs="宋体"/>
          <w:caps w:val="0"/>
          <w:color w:val="auto"/>
          <w:kern w:val="28"/>
          <w:sz w:val="24"/>
          <w:szCs w:val="24"/>
          <w:highlight w:val="none"/>
          <w:u w:val="single"/>
          <w:lang w:val="en-US" w:eastAsia="zh-CN"/>
        </w:rPr>
        <w:t xml:space="preserve">   </w:t>
      </w:r>
      <w:r>
        <w:rPr>
          <w:rFonts w:hint="eastAsia" w:ascii="宋体" w:hAnsi="宋体" w:cs="宋体"/>
          <w:caps w:val="0"/>
          <w:color w:val="auto"/>
          <w:kern w:val="28"/>
          <w:sz w:val="24"/>
          <w:szCs w:val="24"/>
          <w:highlight w:val="none"/>
        </w:rPr>
        <w:t>份，副本</w:t>
      </w:r>
      <w:r>
        <w:rPr>
          <w:rFonts w:hint="eastAsia" w:ascii="宋体" w:hAnsi="宋体" w:cs="宋体"/>
          <w:caps w:val="0"/>
          <w:color w:val="auto"/>
          <w:kern w:val="28"/>
          <w:sz w:val="24"/>
          <w:szCs w:val="24"/>
          <w:highlight w:val="none"/>
          <w:u w:val="single"/>
        </w:rPr>
        <w:t xml:space="preserve">    </w:t>
      </w:r>
      <w:r>
        <w:rPr>
          <w:rFonts w:hint="eastAsia" w:ascii="宋体" w:hAnsi="宋体" w:cs="宋体"/>
          <w:caps w:val="0"/>
          <w:color w:val="auto"/>
          <w:kern w:val="28"/>
          <w:sz w:val="24"/>
          <w:szCs w:val="24"/>
          <w:highlight w:val="none"/>
        </w:rPr>
        <w:t>份，具有同等效力。自双方法定代表人或授权代表人签字、并加盖单位公章之日起生效。甲乙双方各持一份正本，副本按照甲方要求执行，第三方代理机构留存一份副本。</w:t>
      </w:r>
    </w:p>
    <w:p w14:paraId="7FEECDF4">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本合同的订立、履行、变更、终止、解释等均适用中华人民共和国法律。</w:t>
      </w:r>
    </w:p>
    <w:p w14:paraId="4C4E899B">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本合同未尽事宜由双方共同协商，另行订立补充协议，补充协议与本协议具有同样的法律效力。如果本合同之附件与本合同规定不符, 以本合同规定为准。</w:t>
      </w:r>
      <w:r>
        <w:rPr>
          <w:rFonts w:hint="eastAsia" w:ascii="宋体" w:hAnsi="宋体" w:cs="宋体"/>
          <w:caps w:val="0"/>
          <w:color w:val="auto"/>
          <w:sz w:val="24"/>
          <w:szCs w:val="24"/>
          <w:highlight w:val="none"/>
        </w:rPr>
        <w:t>（以下无正文）</w:t>
      </w:r>
    </w:p>
    <w:p w14:paraId="008589FE">
      <w:pPr>
        <w:keepNext w:val="0"/>
        <w:keepLines w:val="0"/>
        <w:pageBreakBefore w:val="0"/>
        <w:widowControl w:val="0"/>
        <w:shd w:val="clear" w:color="auto" w:fill="FFFFFF"/>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rPr>
      </w:pPr>
    </w:p>
    <w:p w14:paraId="4F094002">
      <w:pPr>
        <w:keepNext w:val="0"/>
        <w:keepLines w:val="0"/>
        <w:pageBreakBefore w:val="0"/>
        <w:widowControl w:val="0"/>
        <w:shd w:val="clear" w:color="auto" w:fill="FFFFFF"/>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甲方：</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乙方：</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w:t>
      </w:r>
    </w:p>
    <w:p w14:paraId="766CEBDF">
      <w:pPr>
        <w:keepNext w:val="0"/>
        <w:keepLines w:val="0"/>
        <w:pageBreakBefore w:val="0"/>
        <w:widowControl w:val="0"/>
        <w:shd w:val="clear" w:color="auto" w:fill="FFFFFF"/>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u w:val="single"/>
        </w:rPr>
      </w:pPr>
      <w:r>
        <w:rPr>
          <w:rFonts w:hint="eastAsia" w:ascii="宋体" w:hAnsi="宋体" w:cs="宋体"/>
          <w:caps w:val="0"/>
          <w:color w:val="auto"/>
          <w:sz w:val="24"/>
          <w:szCs w:val="24"/>
          <w:highlight w:val="none"/>
        </w:rPr>
        <w:t>法人代表或授权代表：</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法人代表或授权代表：</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w:t>
      </w:r>
    </w:p>
    <w:p w14:paraId="06A58B97">
      <w:pPr>
        <w:keepNext w:val="0"/>
        <w:keepLines w:val="0"/>
        <w:pageBreakBefore w:val="0"/>
        <w:widowControl w:val="0"/>
        <w:shd w:val="clear" w:color="auto" w:fill="FFFFFF"/>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签订日期：20</w:t>
      </w:r>
      <w:r>
        <w:rPr>
          <w:rFonts w:hint="eastAsia" w:ascii="宋体" w:hAnsi="宋体" w:cs="宋体"/>
          <w:caps w:val="0"/>
          <w:color w:val="auto"/>
          <w:sz w:val="24"/>
          <w:szCs w:val="24"/>
          <w:highlight w:val="none"/>
          <w:lang w:val="en-US" w:eastAsia="zh-CN"/>
        </w:rPr>
        <w:t>2</w:t>
      </w:r>
      <w:r>
        <w:rPr>
          <w:rFonts w:hint="eastAsia" w:ascii="宋体" w:hAnsi="宋体" w:cs="宋体"/>
          <w:caps w:val="0"/>
          <w:color w:val="auto"/>
          <w:sz w:val="24"/>
          <w:szCs w:val="24"/>
          <w:highlight w:val="none"/>
        </w:rPr>
        <w:t xml:space="preserve">  年    月    日    签订日期：20</w:t>
      </w:r>
      <w:r>
        <w:rPr>
          <w:rFonts w:hint="eastAsia" w:ascii="宋体" w:hAnsi="宋体" w:cs="宋体"/>
          <w:caps w:val="0"/>
          <w:color w:val="auto"/>
          <w:sz w:val="24"/>
          <w:szCs w:val="24"/>
          <w:highlight w:val="none"/>
          <w:lang w:val="en-US" w:eastAsia="zh-CN"/>
        </w:rPr>
        <w:t>2</w:t>
      </w:r>
      <w:r>
        <w:rPr>
          <w:rFonts w:hint="eastAsia" w:ascii="宋体" w:hAnsi="宋体" w:cs="宋体"/>
          <w:caps w:val="0"/>
          <w:color w:val="auto"/>
          <w:sz w:val="24"/>
          <w:szCs w:val="24"/>
          <w:highlight w:val="none"/>
        </w:rPr>
        <w:t xml:space="preserve">  年    月    日</w:t>
      </w:r>
    </w:p>
    <w:p w14:paraId="3633C9F8">
      <w:pPr>
        <w:keepNext w:val="0"/>
        <w:keepLines w:val="0"/>
        <w:pageBreakBefore w:val="0"/>
        <w:widowControl w:val="0"/>
        <w:kinsoku/>
        <w:wordWrap/>
        <w:overflowPunct/>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rPr>
      </w:pPr>
    </w:p>
    <w:p w14:paraId="0EEEFA7A">
      <w:pPr>
        <w:pStyle w:val="7"/>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color w:val="0000FF"/>
          <w:sz w:val="24"/>
          <w:szCs w:val="24"/>
          <w:lang w:val="en-US" w:eastAsia="zh-Hans"/>
        </w:rPr>
      </w:pPr>
      <w:r>
        <w:rPr>
          <w:color w:val="0000FF"/>
          <w:sz w:val="24"/>
          <w:szCs w:val="24"/>
        </w:rPr>
        <w:br w:type="textWrapping"/>
      </w:r>
    </w:p>
    <w:p w14:paraId="0F9E3215"/>
    <w:p w14:paraId="45D35428">
      <w:bookmarkStart w:id="118" w:name="_GoBack"/>
      <w:bookmarkEnd w:id="118"/>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29EE">
    <w:pPr>
      <w:pStyle w:val="2"/>
      <w:rPr>
        <w:rStyle w:val="6"/>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DA0631">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kJXN4BAAC/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1JzG7oSlgZ9/fD///H3+9Y09&#10;f5n06X2oKO3WU2IcXsNAWzP7AzkT7aFFm/5EiFGc1D1d1FVDZDJdWi1Xq5JCkmLzgfCL++seQ3yr&#10;wLJk1BxpfFlVcXwf4pg6p6RqDm60MXmExv3lIMzkKVLvY4/JisNumAjtoDkRH3oHVKcD/MpZT1tQ&#10;c0dLz5l550jktDCzgbOxmw3hJF2seeRsNN/EcbEOHvW+y6uWmgr+1SFSp5lAamOsPXVHc80STDuY&#10;FufPc866f3eb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9eQlc3gEAAL8DAAAOAAAAAAAA&#10;AAEAIAAAAB4BAABkcnMvZTJvRG9jLnhtbFBLBQYAAAAABgAGAFkBAABuBQAAAAA=&#10;">
              <v:fill on="f" focussize="0,0"/>
              <v:stroke on="f"/>
              <v:imagedata o:title=""/>
              <o:lock v:ext="edit" aspectratio="f"/>
              <v:textbox inset="0mm,0mm,0mm,0mm" style="mso-fit-shape-to-text:t;">
                <w:txbxContent>
                  <w:p w14:paraId="7ADA0631">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1577928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A18C">
    <w:pPr>
      <w:pStyle w:val="3"/>
      <w:pBdr>
        <w:bottom w:val="none" w:color="auto" w:sz="0" w:space="1"/>
      </w:pBdr>
      <w:jc w:val="right"/>
      <w:rPr>
        <w:rFonts w:hint="eastAsia"/>
      </w:rPr>
    </w:pPr>
    <w:r>
      <w:rPr>
        <w:rFonts w:hint="eastAsia"/>
      </w:rPr>
      <w:t xml:space="preserve"> </w:t>
    </w:r>
  </w:p>
  <w:p w14:paraId="7904035A">
    <w:pPr>
      <w:pStyle w:val="3"/>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AC6F08"/>
    <w:rsid w:val="13AC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2026-07-30T07:40:00Z</dcterms:created>
  <dc:creator>Administrator</dc:creator>
  <cp:lastModifiedBy>Administrator</cp:lastModifiedBy>
  <dcterms:modified xsi:type="dcterms:W3CDTF">2026-07-30T07:40:54Z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00541AC04694416C8032C2E75EE6A031_11</vt:lpwstr>
  </property>
  <property fmtid="{D5CDD505-2E9C-101B-9397-08002B2CF9AE}" pid="4" name="KSOTemplateDocerSaveRecord">
    <vt:lpwstr>eyJoZGlkIjoiMDIzYzJlNTRiOTFkNmY3YjllYjNiZjU5NThmMjJkMjYiLCJ1c2VySWQiOiIxMTI5NDEwNTk3In0=</vt:lpwstr>
  </property>
</Properties>
</file>