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版本号：HXCG-2026-HZ-07-0120260704001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西岔河镇故峪沟村一组二组农田保护项目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HXCG-2026-HZ-07-01</w:t>
      </w:r>
      <w:r>
        <w:br/>
      </w:r>
      <w:r>
        <w:br/>
      </w:r>
      <w:r>
        <w:br/>
      </w:r>
    </w:p>
    <w:p>
      <w:pPr>
        <w:pStyle w:val="null3"/>
        <w:jc w:val="center"/>
        <w:outlineLvl w:val="2"/>
      </w:pPr>
      <w:r>
        <w:rPr>
          <w:rFonts w:ascii="仿宋_GB2312" w:hAnsi="仿宋_GB2312" w:cs="仿宋_GB2312" w:eastAsia="仿宋_GB2312"/>
          <w:sz w:val="28"/>
          <w:b/>
        </w:rPr>
        <w:t>佛坪县西岔河镇人民政府</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佛坪县西岔河镇人民政府</w:t>
      </w:r>
      <w:r>
        <w:rPr>
          <w:rFonts w:ascii="仿宋_GB2312" w:hAnsi="仿宋_GB2312" w:cs="仿宋_GB2312" w:eastAsia="仿宋_GB2312"/>
        </w:rPr>
        <w:t>委托，拟对</w:t>
      </w:r>
      <w:r>
        <w:rPr>
          <w:rFonts w:ascii="仿宋_GB2312" w:hAnsi="仿宋_GB2312" w:cs="仿宋_GB2312" w:eastAsia="仿宋_GB2312"/>
        </w:rPr>
        <w:t>西岔河镇故峪沟村一组二组农田保护项目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HXCG-2026-HZ-07-01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西岔河镇故峪沟村一组二组农田保护项目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修复护岸总长277.5m，其中左岸护岸44.5m，右岸护岸233m；新建混凝土拦水坝2座，新建灌溉渠1825m（其中矩形砼渠917m，DN200PE管道908m），新建沉砂池6座、新建成品PE检查井5座。（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采购包1（西岔河镇故峪沟村一组二组农田保护项目）：属于专门面向中小企业采购。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合法有效的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或被授权委托代理人身份证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3、企业资格要求：供应商应具备建设行政部门核发的水利水电施工总承包三级及以上资质，并具有有效的安全生产许可证；</w:t>
      </w:r>
    </w:p>
    <w:p>
      <w:pPr>
        <w:pStyle w:val="null3"/>
      </w:pPr>
      <w:r>
        <w:rPr>
          <w:rFonts w:ascii="仿宋_GB2312" w:hAnsi="仿宋_GB2312" w:cs="仿宋_GB2312" w:eastAsia="仿宋_GB2312"/>
        </w:rPr>
        <w:t>4、项目经理资格要求：拟派项目经理须具备水利水电工程专业二级及以上注册建造师执业资格，并取得（B类）安全生产考核合格证书，无不良记录，无在建工程(提供无在建承诺书)；</w:t>
      </w:r>
    </w:p>
    <w:p>
      <w:pPr>
        <w:pStyle w:val="null3"/>
      </w:pPr>
      <w:r>
        <w:rPr>
          <w:rFonts w:ascii="仿宋_GB2312" w:hAnsi="仿宋_GB2312" w:cs="仿宋_GB2312" w:eastAsia="仿宋_GB2312"/>
        </w:rPr>
        <w:t>5、供应商信誉：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6、其他：本项目不接受联合体磋商（提供非联合体声明）</w:t>
      </w:r>
    </w:p>
    <w:p>
      <w:pPr>
        <w:pStyle w:val="null3"/>
      </w:pPr>
      <w:r>
        <w:rPr>
          <w:rFonts w:ascii="仿宋_GB2312" w:hAnsi="仿宋_GB2312" w:cs="仿宋_GB2312" w:eastAsia="仿宋_GB2312"/>
        </w:rPr>
        <w:t>7、中小企业声明函：本项目专门面向中小企业采购（提供中小企业声明函）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佛坪县西岔河镇人民政府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佛坪县西岔河镇三教殿村二组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佛坪县西岔河镇人民政府经办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13892655115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18391667661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采购包1：1,486,697.46元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开户名称：横信项目管理有限公司汉中分公司</w:t>
            </w:r>
          </w:p>
          <w:p>
            <w:pPr>
              <w:pStyle w:val="null3"/>
            </w:pPr>
            <w:r>
              <w:rPr>
                <w:rFonts w:ascii="仿宋_GB2312" w:hAnsi="仿宋_GB2312" w:cs="仿宋_GB2312" w:eastAsia="仿宋_GB2312"/>
              </w:rPr>
              <w:t>开户银行：中国农业银行股份有限公司汉中东一环路支行</w:t>
            </w:r>
          </w:p>
          <w:p>
            <w:pPr>
              <w:pStyle w:val="null3"/>
            </w:pPr>
            <w:r>
              <w:rPr>
                <w:rFonts w:ascii="仿宋_GB2312" w:hAnsi="仿宋_GB2312" w:cs="仿宋_GB2312" w:eastAsia="仿宋_GB2312"/>
              </w:rPr>
              <w:t>银行账号：26650401040002274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佛坪县西岔河镇人民政府</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佛坪县西岔河镇人民政府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佛坪县西岔河镇人民政府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联系人：文涛</w:t>
      </w:r>
    </w:p>
    <w:p>
      <w:pPr>
        <w:pStyle w:val="null3"/>
      </w:pPr>
      <w:r>
        <w:rPr>
          <w:rFonts w:ascii="仿宋_GB2312" w:hAnsi="仿宋_GB2312" w:cs="仿宋_GB2312" w:eastAsia="仿宋_GB2312"/>
        </w:rPr>
        <w:t>联系电话：18391667661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1,486,697.46</w:t>
      </w:r>
    </w:p>
    <w:p>
      <w:pPr>
        <w:pStyle w:val="null3"/>
      </w:pPr>
      <w:r>
        <w:rPr>
          <w:rFonts w:ascii="仿宋_GB2312" w:hAnsi="仿宋_GB2312" w:cs="仿宋_GB2312" w:eastAsia="仿宋_GB2312"/>
        </w:rPr>
        <w:t>采购包最高限价（元）: 1,486,697.46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1486697.46</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1,486,697.46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标的名称：1486697.46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255"/>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西岔河镇故峪沟村一组二组农田保护项目位于于佛坪县城南西岔河镇东部故峪沟村，主要工程内容为本工程修复护岸总长</w:t>
            </w:r>
            <w:r>
              <w:rPr>
                <w:rFonts w:ascii="仿宋_GB2312" w:hAnsi="仿宋_GB2312" w:cs="仿宋_GB2312" w:eastAsia="仿宋_GB2312"/>
                <w:sz w:val="28"/>
              </w:rPr>
              <w:t>277.5m，其中左岸护岸44.5m，右岸护岸233m；新建混凝土拦水坝2座，新建灌溉渠1825m（其中矩形砼渠917m，DN200PE管道908m），新建沉砂池6座、新建成品PE检查井5座。（具体建设内容以工程量清单描述为准）</w:t>
            </w:r>
          </w:p>
          <w:p>
            <w:pPr>
              <w:pStyle w:val="null3"/>
              <w:jc w:val="both"/>
            </w:pPr>
            <w:r>
              <w:rPr>
                <w:rFonts w:ascii="仿宋_GB2312" w:hAnsi="仿宋_GB2312" w:cs="仿宋_GB2312" w:eastAsia="仿宋_GB2312"/>
                <w:sz w:val="28"/>
                <w:b/>
              </w:rPr>
              <w:t>二、编制依据及有关规定</w:t>
            </w:r>
          </w:p>
          <w:p>
            <w:pPr>
              <w:pStyle w:val="null3"/>
              <w:ind w:firstLine="562"/>
              <w:jc w:val="both"/>
            </w:pPr>
            <w:r>
              <w:rPr>
                <w:rFonts w:ascii="仿宋_GB2312" w:hAnsi="仿宋_GB2312" w:cs="仿宋_GB2312" w:eastAsia="仿宋_GB2312"/>
                <w:sz w:val="28"/>
                <w:b/>
              </w:rPr>
              <w:t>1、最高限价编制原则</w:t>
            </w:r>
            <w:r>
              <w:rPr>
                <w:rFonts w:ascii="仿宋_GB2312" w:hAnsi="仿宋_GB2312" w:cs="仿宋_GB2312" w:eastAsia="仿宋_GB2312"/>
                <w:sz w:val="28"/>
                <w:b/>
              </w:rPr>
              <w:t>及编制依据</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1）陕水规计发[2024]107号颁发的《陕西省水利工程设计概（估）算编制规定》《陕西省水利建筑工程概算定额》（2024年修正）；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2）陕水规计发[2024]107号颁发的《陕西省水利工程施工机械台班费定额》（2024年修正）；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）办财务函〔</w:t>
            </w:r>
            <w:r>
              <w:rPr>
                <w:rFonts w:ascii="仿宋_GB2312" w:hAnsi="仿宋_GB2312" w:cs="仿宋_GB2312" w:eastAsia="仿宋_GB2312"/>
                <w:sz w:val="28"/>
              </w:rPr>
              <w:t>2019〕448号《水利部办公厅关于调整水利工程计价依据增值税计算标准的通知》税金按营业税改增值税计价依据调整计入，增值税销项税9%；</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西岔河镇故峪沟村一组二组农田保护项目</w:t>
            </w:r>
            <w:r>
              <w:rPr>
                <w:rFonts w:ascii="仿宋_GB2312" w:hAnsi="仿宋_GB2312" w:cs="仿宋_GB2312" w:eastAsia="仿宋_GB2312"/>
                <w:sz w:val="28"/>
              </w:rPr>
              <w:t>设计图纸。</w:t>
            </w:r>
          </w:p>
          <w:p>
            <w:pPr>
              <w:pStyle w:val="null3"/>
              <w:ind w:firstLine="562"/>
              <w:jc w:val="both"/>
            </w:pPr>
            <w:r>
              <w:rPr>
                <w:rFonts w:ascii="仿宋_GB2312" w:hAnsi="仿宋_GB2312" w:cs="仿宋_GB2312" w:eastAsia="仿宋_GB2312"/>
                <w:sz w:val="28"/>
                <w:b/>
              </w:rPr>
              <w:t>2</w:t>
            </w:r>
            <w:r>
              <w:rPr>
                <w:rFonts w:ascii="仿宋_GB2312" w:hAnsi="仿宋_GB2312" w:cs="仿宋_GB2312" w:eastAsia="仿宋_GB2312"/>
                <w:sz w:val="28"/>
                <w:b/>
              </w:rPr>
              <w:t>．基础单价及费用标准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1）人工概算单价：按照“陕水规计[2024]107号计价依据”技工75元/工日、普工50元/工日。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2）主要材料价格</w:t>
            </w:r>
          </w:p>
          <w:p>
            <w:pPr>
              <w:pStyle w:val="null3"/>
              <w:ind w:firstLine="560"/>
              <w:jc w:val="both"/>
            </w:pPr>
            <w:r>
              <w:rPr>
                <w:rFonts w:ascii="仿宋_GB2312" w:hAnsi="仿宋_GB2312" w:cs="仿宋_GB2312" w:eastAsia="仿宋_GB2312"/>
                <w:sz w:val="28"/>
              </w:rPr>
              <w:t>主要材料价格依据汉中市市场信息价</w:t>
            </w:r>
            <w:r>
              <w:rPr>
                <w:rFonts w:ascii="仿宋_GB2312" w:hAnsi="仿宋_GB2312" w:cs="仿宋_GB2312" w:eastAsia="仿宋_GB2312"/>
                <w:sz w:val="28"/>
              </w:rPr>
              <w:t>(2026年第</w:t>
            </w:r>
            <w:r>
              <w:rPr>
                <w:rFonts w:ascii="仿宋_GB2312" w:hAnsi="仿宋_GB2312" w:cs="仿宋_GB2312" w:eastAsia="仿宋_GB2312"/>
                <w:sz w:val="28"/>
              </w:rPr>
              <w:t>4</w:t>
            </w:r>
            <w:r>
              <w:rPr>
                <w:rFonts w:ascii="仿宋_GB2312" w:hAnsi="仿宋_GB2312" w:cs="仿宋_GB2312" w:eastAsia="仿宋_GB2312"/>
                <w:sz w:val="28"/>
              </w:rPr>
              <w:t>期），并结合当地材料市场情况综合考虑运至施工现场运距计算；</w:t>
            </w:r>
          </w:p>
          <w:p>
            <w:pPr>
              <w:pStyle w:val="null3"/>
              <w:numPr>
                <w:ilvl w:val="0"/>
                <w:numId w:val="1"/>
              </w:numPr>
              <w:jc w:val="both"/>
            </w:pPr>
            <w:r>
              <w:rPr>
                <w:rFonts w:ascii="仿宋_GB2312" w:hAnsi="仿宋_GB2312" w:cs="仿宋_GB2312" w:eastAsia="仿宋_GB2312"/>
                <w:sz w:val="28"/>
              </w:rPr>
              <w:t>其它直接费均以基本直接费为取费基础，具体费率见</w:t>
            </w:r>
            <w:r>
              <w:rPr>
                <w:rFonts w:ascii="仿宋_GB2312" w:hAnsi="仿宋_GB2312" w:cs="仿宋_GB2312" w:eastAsia="仿宋_GB2312"/>
                <w:sz w:val="28"/>
              </w:rPr>
              <w:t>下</w:t>
            </w:r>
            <w:r>
              <w:rPr>
                <w:rFonts w:ascii="仿宋_GB2312" w:hAnsi="仿宋_GB2312" w:cs="仿宋_GB2312" w:eastAsia="仿宋_GB2312"/>
                <w:sz w:val="28"/>
              </w:rPr>
              <w:t>表</w:t>
            </w:r>
            <w:r>
              <w:rPr>
                <w:rFonts w:ascii="仿宋_GB2312" w:hAnsi="仿宋_GB2312" w:cs="仿宋_GB2312" w:eastAsia="仿宋_GB2312"/>
                <w:sz w:val="28"/>
              </w:rPr>
              <w:t>；</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869"/>
              <w:gridCol w:w="687"/>
              <w:gridCol w:w="678"/>
            </w:tblGrid>
            <w:tr>
              <w:tc>
                <w:tcPr>
                  <w:tcW w:type="dxa" w:w="308"/>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spacing w:before="75"/>
                    <w:ind w:left="315"/>
                  </w:pPr>
                  <w:r>
                    <w:rPr>
                      <w:rFonts w:ascii="仿宋_GB2312" w:hAnsi="仿宋_GB2312" w:cs="仿宋_GB2312" w:eastAsia="仿宋_GB2312"/>
                      <w:sz w:val="24"/>
                    </w:rPr>
                    <w:t>序号</w:t>
                  </w:r>
                </w:p>
              </w:tc>
              <w:tc>
                <w:tcPr>
                  <w:tcW w:type="dxa" w:w="869"/>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工程类别</w:t>
                  </w:r>
                </w:p>
              </w:tc>
              <w:tc>
                <w:tcPr>
                  <w:tcW w:type="dxa" w:w="687"/>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80"/>
                  </w:pPr>
                  <w:r>
                    <w:rPr>
                      <w:rFonts w:ascii="仿宋_GB2312" w:hAnsi="仿宋_GB2312" w:cs="仿宋_GB2312" w:eastAsia="仿宋_GB2312"/>
                      <w:sz w:val="24"/>
                    </w:rPr>
                    <w:t>取费基础</w:t>
                  </w:r>
                </w:p>
              </w:tc>
              <w:tc>
                <w:tcPr>
                  <w:tcW w:type="dxa" w:w="678"/>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75"/>
                    <w:ind w:left="465"/>
                  </w:pPr>
                  <w:r>
                    <w:rPr>
                      <w:rFonts w:ascii="仿宋_GB2312" w:hAnsi="仿宋_GB2312" w:cs="仿宋_GB2312" w:eastAsia="仿宋_GB2312"/>
                      <w:sz w:val="24"/>
                    </w:rPr>
                    <w:t>间接费率</w:t>
                  </w:r>
                  <w:r>
                    <w:rPr>
                      <w:rFonts w:ascii="仿宋_GB2312" w:hAnsi="仿宋_GB2312" w:cs="仿宋_GB2312" w:eastAsia="仿宋_GB2312"/>
                    </w:rPr>
                    <w:t xml:space="preserve"> </w:t>
                  </w:r>
                  <w:r>
                    <w:rPr>
                      <w:rFonts w:ascii="仿宋_GB2312" w:hAnsi="仿宋_GB2312" w:cs="仿宋_GB2312" w:eastAsia="仿宋_GB2312"/>
                      <w:sz w:val="24"/>
                    </w:rPr>
                    <w:t>(%)</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95"/>
                    <w:jc w:val="both"/>
                  </w:pPr>
                  <w:r>
                    <w:rPr>
                      <w:rFonts w:ascii="仿宋_GB2312" w:hAnsi="仿宋_GB2312" w:cs="仿宋_GB2312" w:eastAsia="仿宋_GB2312"/>
                      <w:sz w:val="24"/>
                    </w:rPr>
                    <w:t>1</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80"/>
                  </w:pPr>
                  <w:r>
                    <w:rPr>
                      <w:rFonts w:ascii="仿宋_GB2312" w:hAnsi="仿宋_GB2312" w:cs="仿宋_GB2312" w:eastAsia="仿宋_GB2312"/>
                      <w:sz w:val="24"/>
                    </w:rPr>
                    <w:t>建筑工程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1</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80"/>
                  </w:pPr>
                  <w:r>
                    <w:rPr>
                      <w:rFonts w:ascii="仿宋_GB2312" w:hAnsi="仿宋_GB2312" w:cs="仿宋_GB2312" w:eastAsia="仿宋_GB2312"/>
                      <w:sz w:val="24"/>
                    </w:rPr>
                    <w:t>土方工程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05"/>
                    <w:ind w:left="1050"/>
                    <w:jc w:val="both"/>
                  </w:pPr>
                  <w:r>
                    <w:rPr>
                      <w:rFonts w:ascii="仿宋_GB2312" w:hAnsi="仿宋_GB2312" w:cs="仿宋_GB2312" w:eastAsia="仿宋_GB2312"/>
                      <w:sz w:val="24"/>
                    </w:rPr>
                    <w:t>4.9</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05"/>
                    <w:jc w:val="both"/>
                  </w:pPr>
                  <w:r>
                    <w:rPr>
                      <w:rFonts w:ascii="仿宋_GB2312" w:hAnsi="仿宋_GB2312" w:cs="仿宋_GB2312" w:eastAsia="仿宋_GB2312"/>
                      <w:sz w:val="24"/>
                    </w:rPr>
                    <w:t>1.2</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石方工程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05"/>
                    <w:ind w:left="1050"/>
                    <w:jc w:val="both"/>
                  </w:pPr>
                  <w:r>
                    <w:rPr>
                      <w:rFonts w:ascii="仿宋_GB2312" w:hAnsi="仿宋_GB2312" w:cs="仿宋_GB2312" w:eastAsia="仿宋_GB2312"/>
                      <w:sz w:val="24"/>
                    </w:rPr>
                    <w:t>4.9</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05"/>
                    <w:jc w:val="both"/>
                  </w:pPr>
                  <w:r>
                    <w:rPr>
                      <w:rFonts w:ascii="仿宋_GB2312" w:hAnsi="仿宋_GB2312" w:cs="仿宋_GB2312" w:eastAsia="仿宋_GB2312"/>
                      <w:sz w:val="24"/>
                    </w:rPr>
                    <w:t>1.3</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70"/>
                  </w:pPr>
                  <w:r>
                    <w:rPr>
                      <w:rFonts w:ascii="仿宋_GB2312" w:hAnsi="仿宋_GB2312" w:cs="仿宋_GB2312" w:eastAsia="仿宋_GB2312"/>
                      <w:sz w:val="24"/>
                    </w:rPr>
                    <w:t>砂石备料工程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05"/>
                    <w:ind w:left="1050"/>
                    <w:jc w:val="both"/>
                  </w:pPr>
                  <w:r>
                    <w:rPr>
                      <w:rFonts w:ascii="仿宋_GB2312" w:hAnsi="仿宋_GB2312" w:cs="仿宋_GB2312" w:eastAsia="仿宋_GB2312"/>
                      <w:sz w:val="24"/>
                    </w:rPr>
                    <w:t>0.5</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05"/>
                    <w:jc w:val="both"/>
                  </w:pPr>
                  <w:r>
                    <w:rPr>
                      <w:rFonts w:ascii="仿宋_GB2312" w:hAnsi="仿宋_GB2312" w:cs="仿宋_GB2312" w:eastAsia="仿宋_GB2312"/>
                      <w:sz w:val="24"/>
                    </w:rPr>
                    <w:t>1.4</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模板工程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05"/>
                    <w:ind w:left="1050"/>
                    <w:jc w:val="both"/>
                  </w:pPr>
                  <w:r>
                    <w:rPr>
                      <w:rFonts w:ascii="仿宋_GB2312" w:hAnsi="仿宋_GB2312" w:cs="仿宋_GB2312" w:eastAsia="仿宋_GB2312"/>
                      <w:sz w:val="24"/>
                    </w:rPr>
                    <w:t>4.9</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1.5</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85"/>
                  </w:pPr>
                  <w:r>
                    <w:rPr>
                      <w:rFonts w:ascii="仿宋_GB2312" w:hAnsi="仿宋_GB2312" w:cs="仿宋_GB2312" w:eastAsia="仿宋_GB2312"/>
                      <w:sz w:val="24"/>
                    </w:rPr>
                    <w:t>砼工程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050"/>
                    <w:jc w:val="both"/>
                  </w:pPr>
                  <w:r>
                    <w:rPr>
                      <w:rFonts w:ascii="仿宋_GB2312" w:hAnsi="仿宋_GB2312" w:cs="仿宋_GB2312" w:eastAsia="仿宋_GB2312"/>
                      <w:sz w:val="24"/>
                    </w:rPr>
                    <w:t>4.9</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1.6</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钢筋制安</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050"/>
                    <w:jc w:val="both"/>
                  </w:pPr>
                  <w:r>
                    <w:rPr>
                      <w:rFonts w:ascii="仿宋_GB2312" w:hAnsi="仿宋_GB2312" w:cs="仿宋_GB2312" w:eastAsia="仿宋_GB2312"/>
                      <w:sz w:val="24"/>
                    </w:rPr>
                    <w:t>4.9</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1.7</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90"/>
                  </w:pPr>
                  <w:r>
                    <w:rPr>
                      <w:rFonts w:ascii="仿宋_GB2312" w:hAnsi="仿宋_GB2312" w:cs="仿宋_GB2312" w:eastAsia="仿宋_GB2312"/>
                      <w:sz w:val="24"/>
                    </w:rPr>
                    <w:t>其他</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050"/>
                    <w:jc w:val="both"/>
                  </w:pPr>
                  <w:r>
                    <w:rPr>
                      <w:rFonts w:ascii="仿宋_GB2312" w:hAnsi="仿宋_GB2312" w:cs="仿宋_GB2312" w:eastAsia="仿宋_GB2312"/>
                      <w:sz w:val="24"/>
                    </w:rPr>
                    <w:t>4.9</w:t>
                  </w:r>
                </w:p>
              </w:tc>
            </w:tr>
            <w:tr>
              <w:tc>
                <w:tcPr>
                  <w:tcW w:type="dxa" w:w="30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20"/>
                    <w:ind w:left="465"/>
                    <w:jc w:val="both"/>
                  </w:pPr>
                  <w:r>
                    <w:rPr>
                      <w:rFonts w:ascii="仿宋_GB2312" w:hAnsi="仿宋_GB2312" w:cs="仿宋_GB2312" w:eastAsia="仿宋_GB2312"/>
                      <w:sz w:val="24"/>
                    </w:rPr>
                    <w:t>2</w:t>
                  </w:r>
                </w:p>
              </w:tc>
              <w:tc>
                <w:tcPr>
                  <w:tcW w:type="dxa" w:w="86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90"/>
                    <w:ind w:left="870"/>
                  </w:pPr>
                  <w:r>
                    <w:rPr>
                      <w:rFonts w:ascii="仿宋_GB2312" w:hAnsi="仿宋_GB2312" w:cs="仿宋_GB2312" w:eastAsia="仿宋_GB2312"/>
                      <w:sz w:val="24"/>
                    </w:rPr>
                    <w:t>设备安装工程</w:t>
                  </w:r>
                </w:p>
              </w:tc>
              <w:tc>
                <w:tcPr>
                  <w:tcW w:type="dxa" w:w="68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90"/>
                    <w:ind w:left="885"/>
                  </w:pPr>
                  <w:r>
                    <w:rPr>
                      <w:rFonts w:ascii="仿宋_GB2312" w:hAnsi="仿宋_GB2312" w:cs="仿宋_GB2312" w:eastAsia="仿宋_GB2312"/>
                      <w:sz w:val="24"/>
                    </w:rPr>
                    <w:t>人工费</w:t>
                  </w:r>
                </w:p>
              </w:tc>
              <w:tc>
                <w:tcPr>
                  <w:tcW w:type="dxa" w:w="678"/>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spacing w:before="120"/>
                    <w:ind w:left="1005"/>
                    <w:jc w:val="both"/>
                  </w:pPr>
                  <w:r>
                    <w:rPr>
                      <w:rFonts w:ascii="仿宋_GB2312" w:hAnsi="仿宋_GB2312" w:cs="仿宋_GB2312" w:eastAsia="仿宋_GB2312"/>
                      <w:sz w:val="24"/>
                    </w:rPr>
                    <w:t>5.39</w:t>
                  </w:r>
                </w:p>
              </w:tc>
            </w:tr>
          </w:tbl>
          <w:p>
            <w:pPr>
              <w:pStyle w:val="null3"/>
              <w:numPr>
                <w:ilvl w:val="0"/>
                <w:numId w:val="1"/>
              </w:numPr>
              <w:spacing w:before="75"/>
              <w:jc w:val="both"/>
            </w:pPr>
            <w:r>
              <w:rPr>
                <w:rFonts w:ascii="仿宋_GB2312" w:hAnsi="仿宋_GB2312" w:cs="仿宋_GB2312" w:eastAsia="仿宋_GB2312"/>
                <w:sz w:val="28"/>
              </w:rPr>
              <w:t>间接费建筑工程均以直接费为取费基础，安装工程以人工费为取费基础，具体费率如下；</w:t>
            </w:r>
          </w:p>
          <w:tbl>
            <w:tblPr>
              <w:tblInd w:type="dxa" w:w="135"/>
              <w:tblBorders>
                <w:top w:val="none" w:color="000000" w:sz="4"/>
                <w:left w:val="none" w:color="000000" w:sz="4"/>
                <w:bottom w:val="none" w:color="000000" w:sz="4"/>
                <w:right w:val="none" w:color="000000" w:sz="4"/>
                <w:insideH w:val="none"/>
                <w:insideV w:val="none"/>
              </w:tblBorders>
            </w:tblPr>
            <w:tblGrid>
              <w:gridCol w:w="308"/>
              <w:gridCol w:w="869"/>
              <w:gridCol w:w="687"/>
              <w:gridCol w:w="678"/>
            </w:tblGrid>
            <w:tr>
              <w:tc>
                <w:tcPr>
                  <w:tcW w:type="dxa" w:w="308"/>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spacing w:before="75"/>
                    <w:ind w:left="315"/>
                  </w:pPr>
                  <w:r>
                    <w:rPr>
                      <w:rFonts w:ascii="仿宋_GB2312" w:hAnsi="仿宋_GB2312" w:cs="仿宋_GB2312" w:eastAsia="仿宋_GB2312"/>
                      <w:sz w:val="24"/>
                    </w:rPr>
                    <w:t>序号</w:t>
                  </w:r>
                </w:p>
              </w:tc>
              <w:tc>
                <w:tcPr>
                  <w:tcW w:type="dxa" w:w="869"/>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工程类别</w:t>
                  </w:r>
                </w:p>
              </w:tc>
              <w:tc>
                <w:tcPr>
                  <w:tcW w:type="dxa" w:w="687"/>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80"/>
                  </w:pPr>
                  <w:r>
                    <w:rPr>
                      <w:rFonts w:ascii="仿宋_GB2312" w:hAnsi="仿宋_GB2312" w:cs="仿宋_GB2312" w:eastAsia="仿宋_GB2312"/>
                      <w:sz w:val="24"/>
                    </w:rPr>
                    <w:t>取费基础</w:t>
                  </w:r>
                </w:p>
              </w:tc>
              <w:tc>
                <w:tcPr>
                  <w:tcW w:type="dxa" w:w="678"/>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75"/>
                    <w:ind w:left="465"/>
                  </w:pPr>
                  <w:r>
                    <w:rPr>
                      <w:rFonts w:ascii="仿宋_GB2312" w:hAnsi="仿宋_GB2312" w:cs="仿宋_GB2312" w:eastAsia="仿宋_GB2312"/>
                      <w:sz w:val="24"/>
                    </w:rPr>
                    <w:t>间接费率</w:t>
                  </w:r>
                  <w:r>
                    <w:rPr>
                      <w:rFonts w:ascii="仿宋_GB2312" w:hAnsi="仿宋_GB2312" w:cs="仿宋_GB2312" w:eastAsia="仿宋_GB2312"/>
                    </w:rPr>
                    <w:t xml:space="preserve"> </w:t>
                  </w:r>
                  <w:r>
                    <w:rPr>
                      <w:rFonts w:ascii="仿宋_GB2312" w:hAnsi="仿宋_GB2312" w:cs="仿宋_GB2312" w:eastAsia="仿宋_GB2312"/>
                      <w:sz w:val="24"/>
                    </w:rPr>
                    <w:t>(%)</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80"/>
                    <w:jc w:val="both"/>
                  </w:pPr>
                  <w:r>
                    <w:rPr>
                      <w:rFonts w:ascii="仿宋_GB2312" w:hAnsi="仿宋_GB2312" w:cs="仿宋_GB2312" w:eastAsia="仿宋_GB2312"/>
                      <w:sz w:val="24"/>
                    </w:rPr>
                    <w:t>1</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80"/>
                  </w:pPr>
                  <w:r>
                    <w:rPr>
                      <w:rFonts w:ascii="仿宋_GB2312" w:hAnsi="仿宋_GB2312" w:cs="仿宋_GB2312" w:eastAsia="仿宋_GB2312"/>
                      <w:sz w:val="24"/>
                    </w:rPr>
                    <w:t>建筑工程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1.1</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土方工程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05"/>
                    <w:ind w:left="1125"/>
                    <w:jc w:val="both"/>
                  </w:pPr>
                  <w:r>
                    <w:rPr>
                      <w:rFonts w:ascii="仿宋_GB2312" w:hAnsi="仿宋_GB2312" w:cs="仿宋_GB2312" w:eastAsia="仿宋_GB2312"/>
                      <w:sz w:val="24"/>
                    </w:rPr>
                    <w:t>5</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05"/>
                    <w:jc w:val="both"/>
                  </w:pPr>
                  <w:r>
                    <w:rPr>
                      <w:rFonts w:ascii="仿宋_GB2312" w:hAnsi="仿宋_GB2312" w:cs="仿宋_GB2312" w:eastAsia="仿宋_GB2312"/>
                      <w:sz w:val="24"/>
                    </w:rPr>
                    <w:t>1.2</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石方工程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05"/>
                    <w:ind w:left="1050"/>
                    <w:jc w:val="both"/>
                  </w:pPr>
                  <w:r>
                    <w:rPr>
                      <w:rFonts w:ascii="仿宋_GB2312" w:hAnsi="仿宋_GB2312" w:cs="仿宋_GB2312" w:eastAsia="仿宋_GB2312"/>
                      <w:sz w:val="24"/>
                    </w:rPr>
                    <w:t>8.5</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1.3</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70"/>
                  </w:pPr>
                  <w:r>
                    <w:rPr>
                      <w:rFonts w:ascii="仿宋_GB2312" w:hAnsi="仿宋_GB2312" w:cs="仿宋_GB2312" w:eastAsia="仿宋_GB2312"/>
                      <w:sz w:val="24"/>
                    </w:rPr>
                    <w:t>砂石备料工程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125"/>
                    <w:jc w:val="both"/>
                  </w:pPr>
                  <w:r>
                    <w:rPr>
                      <w:rFonts w:ascii="仿宋_GB2312" w:hAnsi="仿宋_GB2312" w:cs="仿宋_GB2312" w:eastAsia="仿宋_GB2312"/>
                      <w:sz w:val="24"/>
                    </w:rPr>
                    <w:t>5</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1.4</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模板工程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125"/>
                    <w:jc w:val="both"/>
                  </w:pPr>
                  <w:r>
                    <w:rPr>
                      <w:rFonts w:ascii="仿宋_GB2312" w:hAnsi="仿宋_GB2312" w:cs="仿宋_GB2312" w:eastAsia="仿宋_GB2312"/>
                      <w:sz w:val="24"/>
                    </w:rPr>
                    <w:t>6</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1.5</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85"/>
                  </w:pPr>
                  <w:r>
                    <w:rPr>
                      <w:rFonts w:ascii="仿宋_GB2312" w:hAnsi="仿宋_GB2312" w:cs="仿宋_GB2312" w:eastAsia="仿宋_GB2312"/>
                      <w:sz w:val="24"/>
                    </w:rPr>
                    <w:t>砼工程</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125"/>
                    <w:jc w:val="both"/>
                  </w:pPr>
                  <w:r>
                    <w:rPr>
                      <w:rFonts w:ascii="仿宋_GB2312" w:hAnsi="仿宋_GB2312" w:cs="仿宋_GB2312" w:eastAsia="仿宋_GB2312"/>
                      <w:sz w:val="24"/>
                    </w:rPr>
                    <w:t>7</w:t>
                  </w:r>
                </w:p>
              </w:tc>
            </w:tr>
          </w:tbl>
          <w:tbl>
            <w:tblPr>
              <w:tblInd w:type="dxa" w:w="135"/>
              <w:tblBorders>
                <w:top w:val="none" w:color="000000" w:sz="4"/>
                <w:left w:val="none" w:color="000000" w:sz="4"/>
                <w:bottom w:val="none" w:color="000000" w:sz="4"/>
                <w:right w:val="none" w:color="000000" w:sz="4"/>
                <w:insideH w:val="none"/>
                <w:insideV w:val="none"/>
              </w:tblBorders>
            </w:tblPr>
            <w:tblGrid>
              <w:gridCol w:w="308"/>
              <w:gridCol w:w="869"/>
              <w:gridCol w:w="687"/>
              <w:gridCol w:w="678"/>
            </w:tblGrid>
            <w:tr>
              <w:tc>
                <w:tcPr>
                  <w:tcW w:type="dxa" w:w="308"/>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1.6</w:t>
                  </w:r>
                </w:p>
              </w:tc>
              <w:tc>
                <w:tcPr>
                  <w:tcW w:type="dxa" w:w="8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rPr>
                    <w:t>钢筋制安</w:t>
                  </w:r>
                </w:p>
              </w:tc>
              <w:tc>
                <w:tcPr>
                  <w:tcW w:type="dxa" w:w="6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pPr>
                  <w:r>
                    <w:rPr>
                      <w:rFonts w:ascii="仿宋_GB2312" w:hAnsi="仿宋_GB2312" w:cs="仿宋_GB2312" w:eastAsia="仿宋_GB2312"/>
                      <w:sz w:val="24"/>
                    </w:rPr>
                    <w:t>直接费</w:t>
                  </w:r>
                </w:p>
              </w:tc>
              <w:tc>
                <w:tcPr>
                  <w:tcW w:type="dxa" w:w="678"/>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125"/>
                    <w:jc w:val="both"/>
                  </w:pPr>
                  <w:r>
                    <w:rPr>
                      <w:rFonts w:ascii="仿宋_GB2312" w:hAnsi="仿宋_GB2312" w:cs="仿宋_GB2312" w:eastAsia="仿宋_GB2312"/>
                      <w:sz w:val="24"/>
                    </w:rPr>
                    <w:t>5</w:t>
                  </w:r>
                </w:p>
              </w:tc>
            </w:tr>
            <w:tr>
              <w:tc>
                <w:tcPr>
                  <w:tcW w:type="dxa" w:w="3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405"/>
                    <w:jc w:val="both"/>
                  </w:pPr>
                  <w:r>
                    <w:rPr>
                      <w:rFonts w:ascii="仿宋_GB2312" w:hAnsi="仿宋_GB2312" w:cs="仿宋_GB2312" w:eastAsia="仿宋_GB2312"/>
                      <w:sz w:val="24"/>
                    </w:rPr>
                    <w:t>1.7</w:t>
                  </w:r>
                </w:p>
              </w:tc>
              <w:tc>
                <w:tcPr>
                  <w:tcW w:type="dxa" w:w="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90"/>
                  </w:pPr>
                  <w:r>
                    <w:rPr>
                      <w:rFonts w:ascii="仿宋_GB2312" w:hAnsi="仿宋_GB2312" w:cs="仿宋_GB2312" w:eastAsia="仿宋_GB2312"/>
                      <w:sz w:val="24"/>
                    </w:rPr>
                    <w:t>其他</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885"/>
                  </w:pPr>
                  <w:r>
                    <w:rPr>
                      <w:rFonts w:ascii="仿宋_GB2312" w:hAnsi="仿宋_GB2312" w:cs="仿宋_GB2312" w:eastAsia="仿宋_GB2312"/>
                      <w:sz w:val="24"/>
                    </w:rPr>
                    <w:t>直接费</w:t>
                  </w:r>
                </w:p>
              </w:tc>
              <w:tc>
                <w:tcPr>
                  <w:tcW w:type="dxa" w:w="67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20"/>
                    <w:ind w:left="1050"/>
                    <w:jc w:val="both"/>
                  </w:pPr>
                  <w:r>
                    <w:rPr>
                      <w:rFonts w:ascii="仿宋_GB2312" w:hAnsi="仿宋_GB2312" w:cs="仿宋_GB2312" w:eastAsia="仿宋_GB2312"/>
                      <w:sz w:val="24"/>
                    </w:rPr>
                    <w:t>7.5</w:t>
                  </w:r>
                </w:p>
              </w:tc>
            </w:tr>
            <w:tr>
              <w:tc>
                <w:tcPr>
                  <w:tcW w:type="dxa" w:w="30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20"/>
                    <w:ind w:left="480"/>
                    <w:jc w:val="both"/>
                  </w:pPr>
                  <w:r>
                    <w:rPr>
                      <w:rFonts w:ascii="仿宋_GB2312" w:hAnsi="仿宋_GB2312" w:cs="仿宋_GB2312" w:eastAsia="仿宋_GB2312"/>
                      <w:sz w:val="24"/>
                    </w:rPr>
                    <w:t>2</w:t>
                  </w:r>
                </w:p>
              </w:tc>
              <w:tc>
                <w:tcPr>
                  <w:tcW w:type="dxa" w:w="86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90"/>
                    <w:ind w:left="870"/>
                  </w:pPr>
                  <w:r>
                    <w:rPr>
                      <w:rFonts w:ascii="仿宋_GB2312" w:hAnsi="仿宋_GB2312" w:cs="仿宋_GB2312" w:eastAsia="仿宋_GB2312"/>
                      <w:sz w:val="24"/>
                    </w:rPr>
                    <w:t>设备安装工程</w:t>
                  </w:r>
                </w:p>
              </w:tc>
              <w:tc>
                <w:tcPr>
                  <w:tcW w:type="dxa" w:w="68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90"/>
                    <w:ind w:left="885"/>
                  </w:pPr>
                  <w:r>
                    <w:rPr>
                      <w:rFonts w:ascii="仿宋_GB2312" w:hAnsi="仿宋_GB2312" w:cs="仿宋_GB2312" w:eastAsia="仿宋_GB2312"/>
                      <w:sz w:val="24"/>
                    </w:rPr>
                    <w:t>人工费</w:t>
                  </w:r>
                </w:p>
              </w:tc>
              <w:tc>
                <w:tcPr>
                  <w:tcW w:type="dxa" w:w="678"/>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spacing w:before="120"/>
                    <w:ind w:left="1080"/>
                    <w:jc w:val="both"/>
                  </w:pPr>
                  <w:r>
                    <w:rPr>
                      <w:rFonts w:ascii="仿宋_GB2312" w:hAnsi="仿宋_GB2312" w:cs="仿宋_GB2312" w:eastAsia="仿宋_GB2312"/>
                      <w:sz w:val="24"/>
                    </w:rPr>
                    <w:t>70</w:t>
                  </w:r>
                </w:p>
              </w:tc>
            </w:tr>
          </w:tbl>
          <w:p>
            <w:pPr>
              <w:pStyle w:val="null3"/>
              <w:ind w:left="555"/>
              <w:jc w:val="both"/>
            </w:pPr>
            <w:r>
              <w:rPr>
                <w:rFonts w:ascii="仿宋_GB2312" w:hAnsi="仿宋_GB2312" w:cs="仿宋_GB2312" w:eastAsia="仿宋_GB2312"/>
                <w:sz w:val="28"/>
              </w:rPr>
              <w:t>（</w:t>
            </w:r>
            <w:r>
              <w:rPr>
                <w:rFonts w:ascii="仿宋_GB2312" w:hAnsi="仿宋_GB2312" w:cs="仿宋_GB2312" w:eastAsia="仿宋_GB2312"/>
                <w:sz w:val="28"/>
              </w:rPr>
              <w:t>5）利润：按直接费与间接费的5%</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6）税金：按直接费、间接费、利润、价差之和的9%计。</w:t>
            </w:r>
          </w:p>
          <w:p>
            <w:pPr>
              <w:pStyle w:val="null3"/>
              <w:ind w:firstLine="562"/>
              <w:jc w:val="both"/>
            </w:pPr>
            <w:r>
              <w:rPr>
                <w:rFonts w:ascii="仿宋_GB2312" w:hAnsi="仿宋_GB2312" w:cs="仿宋_GB2312" w:eastAsia="仿宋_GB2312"/>
                <w:sz w:val="28"/>
                <w:b/>
              </w:rPr>
              <w:t>3.</w:t>
            </w:r>
            <w:r>
              <w:rPr>
                <w:rFonts w:ascii="仿宋_GB2312" w:hAnsi="仿宋_GB2312" w:cs="仿宋_GB2312" w:eastAsia="仿宋_GB2312"/>
                <w:sz w:val="28"/>
              </w:rPr>
              <w:t>工期：</w:t>
            </w:r>
            <w:r>
              <w:rPr>
                <w:rFonts w:ascii="仿宋_GB2312" w:hAnsi="仿宋_GB2312" w:cs="仿宋_GB2312" w:eastAsia="仿宋_GB2312"/>
                <w:sz w:val="28"/>
              </w:rPr>
              <w:t>120日历天</w:t>
            </w:r>
          </w:p>
          <w:p>
            <w:pPr>
              <w:pStyle w:val="null3"/>
              <w:ind w:firstLine="562"/>
              <w:jc w:val="both"/>
            </w:pPr>
            <w:r>
              <w:rPr>
                <w:rFonts w:ascii="仿宋_GB2312" w:hAnsi="仿宋_GB2312" w:cs="仿宋_GB2312" w:eastAsia="仿宋_GB2312"/>
                <w:sz w:val="28"/>
                <w:b/>
              </w:rPr>
              <w:t>4</w:t>
            </w:r>
            <w:r>
              <w:rPr>
                <w:rFonts w:ascii="仿宋_GB2312" w:hAnsi="仿宋_GB2312" w:cs="仿宋_GB2312" w:eastAsia="仿宋_GB2312"/>
                <w:sz w:val="28"/>
              </w:rPr>
              <w:t>.质量目标：合格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 府采购法》第二十二条规定的条件 。</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 控股、管理关系的不同供应商不得 参加同一合同项下的政府采购活动 ； 为本项目提供整体设计、规范编 制或者项目管理、监理、检测等服 务的供应商，不得再参加该采购项 目的其他采购活动。供应商为采购 人、代理机构在确定采购需求、编 制采购文件过程中提供咨询论证， 其提供的咨询论证意见成为采购文 件中规定的供应商资格条件、技术 服务商务要求、评审因素和标准、 政府采购合同等实质性内容条款的 ，视同为采购项目提供规范编制。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供应商为具有独立承担民事责任能力的企业法人、事业法人、其他组织，提供合法有效的营业执照（事业单位须事业单位法人证、组织机构代码证等证明文件；其他组织应提供合法证明文件）；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 提供磋商保证金缴纳凭证.docx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供应商应具备建设行政部门核发的水利水电施工总承包三级及以上资质，并具有有效的安全生产许可证；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 业绩情况表.docx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拟派项目经理须具备水利水电工程专业二级及以上注册建造师执业资格，并取得（B类）安全生产考核合格证书，无不良记录，无在建工程(提供无在建承诺书)；</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 供应商认为其他需要说明的材料.docx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供应商针对本项目编制施工总体方案：包括但不限于①施工现场布置；②施工总体思路；③主要分部分项工程施工工艺；④施工质量控制措施；⑤季节性施工保障措施。⑥施工进度及安全文明管控方案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项目实施的重点难点分析及对策</w:t>
            </w:r>
          </w:p>
        </w:tc>
        <w:tc>
          <w:tcPr>
            <w:tcW w:type="dxa" w:w="2492"/>
          </w:tcPr>
          <w:p>
            <w:pPr>
              <w:pStyle w:val="null3"/>
            </w:pPr>
            <w:r>
              <w:rPr>
                <w:rFonts w:ascii="仿宋_GB2312" w:hAnsi="仿宋_GB2312" w:cs="仿宋_GB2312" w:eastAsia="仿宋_GB2312"/>
              </w:rPr>
              <w:t>供应商针对本项目的实际情况，对项目的重点难点进行分析并提出相应对策：包括但不限于①对项目实施重点、难点的分析、②合理化建议、③解决方案；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供应商应针对本项目编制质量保证措施：包括但不限于①质量管理目标；②管理机构职责分工；③质量管理制度；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供应商应针对本项目编制工程进度保证措施：包括但不限于①总工期及节点工期安排；②施工进度计划安排；③进度保证措施。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供应商应针对本项目编制安全保证措施：包括但不限于①安全管理目标；②安全管理机构职责分工；③安全管理制度；④安全保证措施。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供应商提供2023年1月1日以来完成的水利工程类项目业绩，每提供一个得2.5分，最高得5分。（提供完整的合同协议书原件或加盖公章的复印件），未提供不得分。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业绩情况表.docx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1.项目技术负责人具有工程类中级及以上技术职称，得3分；2.项目配备施工员、质量员、安全员、材料员、资料员具有相关岗位证书（或职业资格），全部满足得10分，每缺少一人或相应人员无证书证件扣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1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拟派项目部管理人员施工期间不更换承诺，保证按时按质按量完成本项目。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详见附件：提供磋商保证金缴纳凭证.docx</w:t>
      </w:r>
    </w:p>
    <w:p>
      <w:pPr>
        <w:pStyle w:val="null3"/>
        <w:ind w:firstLine="960"/>
      </w:pPr>
      <w:r>
        <w:rPr>
          <w:rFonts w:ascii="仿宋_GB2312" w:hAnsi="仿宋_GB2312" w:cs="仿宋_GB2312" w:eastAsia="仿宋_GB2312"/>
        </w:rPr>
        <w:t>详见附件：供应商认为其他需要说明的材料.docx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