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版本号：HXTDJC2026126520260511001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陕西省总工会机关餐厅餐饮劳务外包项目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HXTDJC20261265</w:t>
      </w:r>
      <w:r>
        <w:br/>
      </w:r>
      <w:r>
        <w:br/>
      </w:r>
      <w:r>
        <w:br/>
      </w:r>
    </w:p>
    <w:p>
      <w:pPr>
        <w:pStyle w:val="null3"/>
        <w:jc w:val="center"/>
        <w:outlineLvl w:val="2"/>
      </w:pPr>
      <w:r>
        <w:rPr>
          <w:rFonts w:ascii="仿宋_GB2312" w:hAnsi="仿宋_GB2312" w:cs="仿宋_GB2312" w:eastAsia="仿宋_GB2312"/>
          <w:sz w:val="28"/>
          <w:b/>
        </w:rPr>
        <w:t>省总工会本级</w:t>
      </w:r>
    </w:p>
    <w:p>
      <w:pPr>
        <w:pStyle w:val="null3"/>
        <w:jc w:val="center"/>
        <w:outlineLvl w:val="2"/>
      </w:pPr>
      <w:r>
        <w:rPr>
          <w:rFonts w:ascii="仿宋_GB2312" w:hAnsi="仿宋_GB2312" w:cs="仿宋_GB2312" w:eastAsia="仿宋_GB2312"/>
          <w:sz w:val="28"/>
          <w:b/>
        </w:rPr>
        <w:t>陕西鸿信泰鼎建设项目管理有限公司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陕西鸿信泰鼎建设项目管理有限公司</w:t>
      </w:r>
      <w:r>
        <w:rPr>
          <w:rFonts w:ascii="仿宋_GB2312" w:hAnsi="仿宋_GB2312" w:cs="仿宋_GB2312" w:eastAsia="仿宋_GB2312"/>
        </w:rPr>
        <w:t>（以下简称“代理机构”）受</w:t>
      </w:r>
      <w:r>
        <w:rPr>
          <w:rFonts w:ascii="仿宋_GB2312" w:hAnsi="仿宋_GB2312" w:cs="仿宋_GB2312" w:eastAsia="仿宋_GB2312"/>
        </w:rPr>
        <w:t>省总工会本级</w:t>
      </w:r>
      <w:r>
        <w:rPr>
          <w:rFonts w:ascii="仿宋_GB2312" w:hAnsi="仿宋_GB2312" w:cs="仿宋_GB2312" w:eastAsia="仿宋_GB2312"/>
        </w:rPr>
        <w:t>委托，拟对</w:t>
      </w:r>
      <w:r>
        <w:rPr>
          <w:rFonts w:ascii="仿宋_GB2312" w:hAnsi="仿宋_GB2312" w:cs="仿宋_GB2312" w:eastAsia="仿宋_GB2312"/>
        </w:rPr>
        <w:t>陕西省总工会机关餐厅餐饮劳务外包项目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HXTDJC20261265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陕西省总工会机关餐厅餐饮劳务外包项目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陕西省总工会机关餐厅餐饮劳务外包项目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主要负责人）委托代理人参加磋商时，应提供法定代表人（主要负责人）委托授权书；法定代表人（主要负责人）亲自参加磋商时，应提供法定代表人（主要负责人）身份证明书。</w:t>
      </w:r>
    </w:p>
    <w:p>
      <w:pPr>
        <w:pStyle w:val="null3"/>
      </w:pPr>
      <w:r>
        <w:rPr>
          <w:rFonts w:ascii="仿宋_GB2312" w:hAnsi="仿宋_GB2312" w:cs="仿宋_GB2312" w:eastAsia="仿宋_GB2312"/>
        </w:rPr>
        <w:t>2、信用记录：供应商未被列入“信用中国”（www.creditchina.gov.cn）记录的“严重失信主体名单”和“重大税收违法失信主体”名单；未被列入“中国政府采购网”（www.ccgp.gov.cn）中的“政府采购严重违法失信行为记录名单”；</w:t>
      </w:r>
    </w:p>
    <w:p>
      <w:pPr>
        <w:pStyle w:val="null3"/>
      </w:pPr>
      <w:r>
        <w:rPr>
          <w:rFonts w:ascii="仿宋_GB2312" w:hAnsi="仿宋_GB2312" w:cs="仿宋_GB2312" w:eastAsia="仿宋_GB2312"/>
        </w:rPr>
        <w:t>3、资质：供应商须具有《食品经营许可证》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省总工会本级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西安市莲湖路389号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029-87228955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陕西鸿信泰鼎建设项目管理有限公司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西安市雁塔区沣惠南路唐沣国际D座13楼1301室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韩燕子、方湖、赵磊、房亚宁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029-89562775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开户名称：陕西鸿信泰鼎建设项目管理有限公司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银行账号：103694624495000057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代理服务费收费标准：中标(或成交)服务费以中标（成交）价为基数，参照《招标代理服务收费管理暂行办法》计价格[2002]1980号文和发改价格[2011]534号文件规定标准收取。由成交方向受托人支付。 户名：陕西鸿信泰鼎建设项目管理有限公司 开户银行：中国民生银行股份有限公司西安吉祥路支行 账 号：155221039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省总工会本级</w:t>
      </w:r>
      <w:r>
        <w:rPr>
          <w:rFonts w:ascii="仿宋_GB2312" w:hAnsi="仿宋_GB2312" w:cs="仿宋_GB2312" w:eastAsia="仿宋_GB2312"/>
        </w:rPr>
        <w:t>和</w:t>
      </w:r>
      <w:r>
        <w:rPr>
          <w:rFonts w:ascii="仿宋_GB2312" w:hAnsi="仿宋_GB2312" w:cs="仿宋_GB2312" w:eastAsia="仿宋_GB2312"/>
        </w:rPr>
        <w:t>陕西鸿信泰鼎建设项目管理有限公司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省总工会本级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陕西鸿信泰鼎建设项目管理有限公司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省总工会本级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陕西鸿信泰鼎建设项目管理有限公司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1、甲方成立就餐民主管理委员会并制定餐饮管理制度，定期或不定期对乙方进行检查，每月将汇总的考核结果作为本月合同款支付依据。 2、合同期内，就餐民主管理委员会成员代表甲方职工对餐厅饭菜质量、口味、环境卫生等方面每月进行投票评比，乙方现场参与投票评比结果统计。如果联系两个月有超出半数成员对乙方服务表现做出差评，甲方有权无条件解除合同。乙方人员恶意浪费或偷窃食材，经核查属实，乙方应承担相应损失，甲方有权进行考核处罚责令整改，情况严重者终止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陕西鸿信泰鼎建设项目管理有限公司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联系人：张海悦</w:t>
      </w:r>
    </w:p>
    <w:p>
      <w:pPr>
        <w:pStyle w:val="null3"/>
      </w:pPr>
      <w:r>
        <w:rPr>
          <w:rFonts w:ascii="仿宋_GB2312" w:hAnsi="仿宋_GB2312" w:cs="仿宋_GB2312" w:eastAsia="仿宋_GB2312"/>
        </w:rPr>
        <w:t>联系电话：029-89562775</w:t>
      </w:r>
    </w:p>
    <w:p>
      <w:pPr>
        <w:pStyle w:val="null3"/>
      </w:pPr>
      <w:r>
        <w:rPr>
          <w:rFonts w:ascii="仿宋_GB2312" w:hAnsi="仿宋_GB2312" w:cs="仿宋_GB2312" w:eastAsia="仿宋_GB2312"/>
        </w:rPr>
        <w:t>地址：书面材料送至西安市高新区沣惠南路唐沣国际广场D座13层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陕西省总工会机关餐厅餐饮劳务外包项目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陕西省总工会机关餐厅餐饮劳务外包项目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标的名称：陕西省总工会机关餐厅餐饮劳务外包项目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为给广大干部职工打造舒适便捷、干净卫生的良好就餐环境，根据陕西省总工会实际情况，参考团体餐饮管理常 规做法，制订机关餐厅运营方案。</w:t>
            </w:r>
          </w:p>
          <w:p>
            <w:pPr>
              <w:pStyle w:val="null3"/>
            </w:pPr>
            <w:r>
              <w:rPr>
                <w:rFonts w:ascii="仿宋_GB2312" w:hAnsi="仿宋_GB2312" w:cs="仿宋_GB2312" w:eastAsia="仿宋_GB2312"/>
              </w:rPr>
              <w:t>1、中标人应向采购人提供派驻采购人工作人员，提供服务人员暂定16人,保障约200人用餐，其中暂定餐饮中心负责人1名、项目安全员1名，厨师长1名，炒锅2名，切配2名，服务员3名，洗消3名，面点2名，凉菜1名。</w:t>
            </w:r>
          </w:p>
          <w:p>
            <w:pPr>
              <w:pStyle w:val="null3"/>
            </w:pPr>
            <w:r>
              <w:rPr>
                <w:rFonts w:ascii="仿宋_GB2312" w:hAnsi="仿宋_GB2312" w:cs="仿宋_GB2312" w:eastAsia="仿宋_GB2312"/>
              </w:rPr>
              <w:t>2、由中标人负责采购人餐厅早、中、晚餐的膳食供应工作，确保所有膳食的花色品种及营养搭配及膳食的安全卫生，保障采购人人员的日常用餐（其中包括来访客户招待餐）、加班餐，同时负责餐厅的·卫生清洁工作，包括但不限于餐厅地面、墙面、餐厅内部设备工具和就餐用具的卫生清洁工作，以及餐厅设备设施安全。</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1、中标人必须按照采购人的要求，按时保质、保量地提供优质服务，保证采购人满意。中标人不得分包转包所中标项目。</w:t>
            </w:r>
          </w:p>
          <w:p>
            <w:pPr>
              <w:pStyle w:val="null3"/>
            </w:pPr>
            <w:r>
              <w:rPr>
                <w:rFonts w:ascii="仿宋_GB2312" w:hAnsi="仿宋_GB2312" w:cs="仿宋_GB2312" w:eastAsia="仿宋_GB2312"/>
              </w:rPr>
              <w:t>2、对于采购人提出的问题，中标人应该积极主动整改。</w:t>
            </w:r>
          </w:p>
          <w:p>
            <w:pPr>
              <w:pStyle w:val="null3"/>
            </w:pPr>
            <w:r>
              <w:rPr>
                <w:rFonts w:ascii="仿宋_GB2312" w:hAnsi="仿宋_GB2312" w:cs="仿宋_GB2312" w:eastAsia="仿宋_GB2312"/>
              </w:rPr>
              <w:t>3、中标人的工作人员必须遵守招标人的管理制度，服从采购人的管理。</w:t>
            </w:r>
          </w:p>
          <w:p>
            <w:pPr>
              <w:pStyle w:val="null3"/>
            </w:pPr>
            <w:r>
              <w:rPr>
                <w:rFonts w:ascii="仿宋_GB2312" w:hAnsi="仿宋_GB2312" w:cs="仿宋_GB2312" w:eastAsia="仿宋_GB2312"/>
              </w:rPr>
              <w:t>4、中标人用工制度按照工作需要自行制订，应严格按照国家相关法律、法规执行。</w:t>
            </w:r>
          </w:p>
          <w:p>
            <w:pPr>
              <w:pStyle w:val="null3"/>
            </w:pPr>
            <w:r>
              <w:rPr>
                <w:rFonts w:ascii="仿宋_GB2312" w:hAnsi="仿宋_GB2312" w:cs="仿宋_GB2312" w:eastAsia="仿宋_GB2312"/>
              </w:rPr>
              <w:t>5、采购人要将各项管理规定及时通报中标人掌握，中标人将相关管理制度及人员岗位流动情况第一时间报采购人备案。</w:t>
            </w:r>
          </w:p>
          <w:p>
            <w:pPr>
              <w:pStyle w:val="null3"/>
            </w:pPr>
            <w:r>
              <w:rPr>
                <w:rFonts w:ascii="仿宋_GB2312" w:hAnsi="仿宋_GB2312" w:cs="仿宋_GB2312" w:eastAsia="仿宋_GB2312"/>
              </w:rPr>
              <w:t>6、中标人人员要遵守采购人的各项管理规定和管理制度，违反者通报中标人并按照采购人相关规定及管理制度处罚。</w:t>
            </w:r>
          </w:p>
          <w:p>
            <w:pPr>
              <w:pStyle w:val="null3"/>
            </w:pPr>
            <w:r>
              <w:rPr>
                <w:rFonts w:ascii="仿宋_GB2312" w:hAnsi="仿宋_GB2312" w:cs="仿宋_GB2312" w:eastAsia="仿宋_GB2312"/>
              </w:rPr>
              <w:t>7、中标人在承包期间，应严格执行《食品卫生法》，防止食物中毒，由于管理不善或中标人人员操作等因素引发的食品卫生安全事件，由中标人负全部责任，赔偿因此给采购人造成的行政事业罚款等相关费用，由中标人无条件进行善后处理，采购人配合。</w:t>
            </w:r>
          </w:p>
          <w:p>
            <w:pPr>
              <w:pStyle w:val="null3"/>
            </w:pPr>
            <w:r>
              <w:rPr>
                <w:rFonts w:ascii="仿宋_GB2312" w:hAnsi="仿宋_GB2312" w:cs="仿宋_GB2312" w:eastAsia="仿宋_GB2312"/>
              </w:rPr>
              <w:t>8、中标人应按照操作规范使用厨房设备，爱惜公共财物，如因中标人使用不当，人为因素造成的设备损坏，要求中标人要恢复其使用效果，还要予以经济处罚。</w:t>
            </w:r>
          </w:p>
          <w:p>
            <w:pPr>
              <w:pStyle w:val="null3"/>
            </w:pPr>
            <w:r>
              <w:rPr>
                <w:rFonts w:ascii="仿宋_GB2312" w:hAnsi="仿宋_GB2312" w:cs="仿宋_GB2312" w:eastAsia="仿宋_GB2312"/>
              </w:rPr>
              <w:t>三、服务标准</w:t>
            </w:r>
          </w:p>
          <w:p>
            <w:pPr>
              <w:pStyle w:val="null3"/>
            </w:pPr>
            <w:r>
              <w:rPr>
                <w:rFonts w:ascii="仿宋_GB2312" w:hAnsi="仿宋_GB2312" w:cs="仿宋_GB2312" w:eastAsia="仿宋_GB2312"/>
              </w:rPr>
              <w:t>1、中标人按《食品卫生法》及招标人要求做好员工餐厅的服务，为员工提供安全、卫生、可口、周到的就餐服务，员工就餐满意率达到85%以上。</w:t>
            </w:r>
          </w:p>
          <w:p>
            <w:pPr>
              <w:pStyle w:val="null3"/>
            </w:pPr>
            <w:r>
              <w:rPr>
                <w:rFonts w:ascii="仿宋_GB2312" w:hAnsi="仿宋_GB2312" w:cs="仿宋_GB2312" w:eastAsia="仿宋_GB2312"/>
              </w:rPr>
              <w:t>2、中标人后厨工作人员应牢固树立食品卫生安全意识，拒绝加工过期、霉变及“三无”食材，不将闲杂人等带入后厨操作间，带病不上岗，保持个人卫生清洁。</w:t>
            </w:r>
          </w:p>
          <w:p>
            <w:pPr>
              <w:pStyle w:val="null3"/>
            </w:pPr>
            <w:r>
              <w:rPr>
                <w:rFonts w:ascii="仿宋_GB2312" w:hAnsi="仿宋_GB2312" w:cs="仿宋_GB2312" w:eastAsia="仿宋_GB2312"/>
              </w:rPr>
              <w:t>3、中标人从业人员应廉洁自律，禁止食堂工作人员私自倒卖原材料。食堂各类食材、工器具禁止私用私留或移为他用。</w:t>
            </w:r>
          </w:p>
          <w:p>
            <w:pPr>
              <w:pStyle w:val="null3"/>
            </w:pPr>
            <w:r>
              <w:rPr>
                <w:rFonts w:ascii="仿宋_GB2312" w:hAnsi="仿宋_GB2312" w:cs="仿宋_GB2312" w:eastAsia="仿宋_GB2312"/>
              </w:rPr>
              <w:t>4、中标人从业人员按招标人管理要求进行食材仓储管理，做到生熟分储、蔬菜与肉类分储等，并在各储藏柜标示食材名称、入库时间、储藏时效。</w:t>
            </w:r>
          </w:p>
          <w:p>
            <w:pPr>
              <w:pStyle w:val="null3"/>
            </w:pPr>
            <w:r>
              <w:rPr>
                <w:rFonts w:ascii="仿宋_GB2312" w:hAnsi="仿宋_GB2312" w:cs="仿宋_GB2312" w:eastAsia="仿宋_GB2312"/>
              </w:rPr>
              <w:t>5、食品加工制作过程干净卫生，加工食材清洗彻底，加工时生熟分案。</w:t>
            </w:r>
          </w:p>
          <w:p>
            <w:pPr>
              <w:pStyle w:val="null3"/>
            </w:pPr>
            <w:r>
              <w:rPr>
                <w:rFonts w:ascii="仿宋_GB2312" w:hAnsi="仿宋_GB2312" w:cs="仿宋_GB2312" w:eastAsia="仿宋_GB2312"/>
              </w:rPr>
              <w:t>6、按招标人规定及要求每日认真开展操作间、餐厅卫生清洁，保持后厨及就餐环境干净整洁、无积垢、无灰尘、无死角、无病媒生物。</w:t>
            </w:r>
          </w:p>
          <w:p>
            <w:pPr>
              <w:pStyle w:val="null3"/>
            </w:pPr>
            <w:r>
              <w:rPr>
                <w:rFonts w:ascii="仿宋_GB2312" w:hAnsi="仿宋_GB2312" w:cs="仿宋_GB2312" w:eastAsia="仿宋_GB2312"/>
              </w:rPr>
              <w:t>7、合理配餐，成品饭食口味适宜、无夹生、无异物。</w:t>
            </w:r>
          </w:p>
          <w:p>
            <w:pPr>
              <w:pStyle w:val="null3"/>
            </w:pPr>
            <w:r>
              <w:rPr>
                <w:rFonts w:ascii="仿宋_GB2312" w:hAnsi="仿宋_GB2312" w:cs="仿宋_GB2312" w:eastAsia="仿宋_GB2312"/>
              </w:rPr>
              <w:t>8、餐后按规定程序对餐具进行彻底清洗消毒。</w:t>
            </w:r>
          </w:p>
          <w:p>
            <w:pPr>
              <w:pStyle w:val="null3"/>
            </w:pPr>
            <w:r>
              <w:rPr>
                <w:rFonts w:ascii="仿宋_GB2312" w:hAnsi="仿宋_GB2312" w:cs="仿宋_GB2312" w:eastAsia="仿宋_GB2312"/>
              </w:rPr>
              <w:t>9、员工就餐、接待就餐按酒店化服务标准，做到周到细致。</w:t>
            </w:r>
          </w:p>
          <w:p>
            <w:pPr>
              <w:pStyle w:val="null3"/>
            </w:pPr>
            <w:r>
              <w:rPr>
                <w:rFonts w:ascii="仿宋_GB2312" w:hAnsi="仿宋_GB2312" w:cs="仿宋_GB2312" w:eastAsia="仿宋_GB2312"/>
              </w:rPr>
              <w:t>10、中标人从业人员应爱护餐厅各类餐具、工器具及设施设备，将餐具、工器具损耗率控制在甲方规定范围内。</w:t>
            </w:r>
          </w:p>
          <w:p>
            <w:pPr>
              <w:pStyle w:val="null3"/>
            </w:pPr>
            <w:r>
              <w:rPr>
                <w:rFonts w:ascii="仿宋_GB2312" w:hAnsi="仿宋_GB2312" w:cs="仿宋_GB2312" w:eastAsia="仿宋_GB2312"/>
              </w:rPr>
              <w:t>11、中标人对委托服务的范围内每天至少全范围清扫两次，做到无杂物、无垃圾、无沙土、无卫生死角、需清除的垃圾必须倒在指定垃圾堆放点，保证环境清洁。</w:t>
            </w:r>
          </w:p>
          <w:p>
            <w:pPr>
              <w:pStyle w:val="null3"/>
            </w:pPr>
            <w:r>
              <w:rPr>
                <w:rFonts w:ascii="仿宋_GB2312" w:hAnsi="仿宋_GB2312" w:cs="仿宋_GB2312" w:eastAsia="仿宋_GB2312"/>
              </w:rPr>
              <w:t>12、中标人从业服务人员必须持有健康证，对患有传染性疾病或不符合上岗要求的人员及时辞退。采购人有权对中标人从业人员进行健康抽查。</w:t>
            </w:r>
          </w:p>
          <w:p>
            <w:pPr>
              <w:pStyle w:val="null3"/>
            </w:pPr>
            <w:r>
              <w:rPr>
                <w:rFonts w:ascii="仿宋_GB2312" w:hAnsi="仿宋_GB2312" w:cs="仿宋_GB2312" w:eastAsia="仿宋_GB2312"/>
              </w:rPr>
              <w:t>13、从业人员有统一制服，工作期间标准着装，服务细致周到。</w:t>
            </w:r>
          </w:p>
          <w:p>
            <w:pPr>
              <w:pStyle w:val="null3"/>
            </w:pPr>
            <w:r>
              <w:rPr>
                <w:rFonts w:ascii="仿宋_GB2312" w:hAnsi="仿宋_GB2312" w:cs="仿宋_GB2312" w:eastAsia="仿宋_GB2312"/>
              </w:rPr>
              <w:t>14、排水明沟保洁</w:t>
            </w:r>
          </w:p>
          <w:p>
            <w:pPr>
              <w:pStyle w:val="null3"/>
            </w:pPr>
            <w:r>
              <w:rPr>
                <w:rFonts w:ascii="仿宋_GB2312" w:hAnsi="仿宋_GB2312" w:cs="仿宋_GB2312" w:eastAsia="仿宋_GB2312"/>
              </w:rPr>
              <w:t>a．排水明沟应每天收尾时及时清理保证其畅通、无阻塞，无积水、无臭味。</w:t>
            </w:r>
          </w:p>
          <w:p>
            <w:pPr>
              <w:pStyle w:val="null3"/>
            </w:pPr>
            <w:r>
              <w:rPr>
                <w:rFonts w:ascii="仿宋_GB2312" w:hAnsi="仿宋_GB2312" w:cs="仿宋_GB2312" w:eastAsia="仿宋_GB2312"/>
              </w:rPr>
              <w:t>b．目视排水明沟干净，无明显泥沙、无污垢。</w:t>
            </w:r>
          </w:p>
          <w:p>
            <w:pPr>
              <w:pStyle w:val="null3"/>
            </w:pPr>
            <w:r>
              <w:rPr>
                <w:rFonts w:ascii="仿宋_GB2312" w:hAnsi="仿宋_GB2312" w:cs="仿宋_GB2312" w:eastAsia="仿宋_GB2312"/>
              </w:rPr>
              <w:t>c.隔油池应每天清理两次及以上，保证隔油池底部无油渍，底部无沉淀物。</w:t>
            </w:r>
          </w:p>
          <w:p>
            <w:pPr>
              <w:pStyle w:val="null3"/>
            </w:pPr>
            <w:r>
              <w:rPr>
                <w:rFonts w:ascii="仿宋_GB2312" w:hAnsi="仿宋_GB2312" w:cs="仿宋_GB2312" w:eastAsia="仿宋_GB2312"/>
              </w:rPr>
              <w:t>四、服务期：三年，合同一年一签，预算逐年申报。</w:t>
            </w:r>
          </w:p>
          <w:p>
            <w:pPr>
              <w:pStyle w:val="null3"/>
              <w:jc w:val="left"/>
            </w:pPr>
            <w:r>
              <w:rPr>
                <w:rFonts w:ascii="仿宋_GB2312" w:hAnsi="仿宋_GB2312" w:cs="仿宋_GB2312" w:eastAsia="仿宋_GB2312"/>
              </w:rPr>
              <w:t>注：</w:t>
            </w:r>
          </w:p>
          <w:p>
            <w:pPr>
              <w:pStyle w:val="null3"/>
            </w:pPr>
            <w:r>
              <w:rPr>
                <w:rFonts w:ascii="仿宋_GB2312" w:hAnsi="仿宋_GB2312" w:cs="仿宋_GB2312" w:eastAsia="仿宋_GB2312"/>
              </w:rPr>
              <w:t>1.甲方无偿为乙方提供经营场所、办公场所和员工宿舍。</w:t>
            </w:r>
          </w:p>
          <w:p>
            <w:pPr>
              <w:pStyle w:val="null3"/>
            </w:pPr>
            <w:r>
              <w:rPr>
                <w:rFonts w:ascii="仿宋_GB2312" w:hAnsi="仿宋_GB2312" w:cs="仿宋_GB2312" w:eastAsia="仿宋_GB2312"/>
              </w:rPr>
              <w:t>2.甲方职工食堂水、电、气应接入并能正常使用；主副食加工间、粗加工间、冷库、用具、厨房、凉菜间、更衣间等房间、设备器具齐全并能正常使用。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提供服务人员暂定16人,保障约200人用餐，其中暂定餐饮中心负责人1名、项目安全员1名，厨师长1名，炒锅2名，切配2名，服务员3名，洗消3名，面点2名，凉菜1名。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服务期三年，合同一年一签，预算逐年申报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（1）甲方成立就餐民主管理委员会并制定餐饮管理制度，定期或不定期对乙方进行检查，每月将汇总的考核结果作为本月合同款支付依据。 （2）合同期内，就餐民主管理委员会成员代表甲方职工对餐厅饭菜质量、口味、环境卫生等方面每月进行投票评比，乙方现场参与投票评比结果统计。如果连续两个月有超出半数成员对乙方服务表现做出差评，甲方有权无条件解除合同。乙方人员恶意浪费或偷窃食材，经核查属实，乙方应承担相应损失，甲方有权进行考核处罚责令整改，情况严重者终止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次月结清上月的劳务费，甲方在收到乙方提供的税务发票后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次月结清上月的劳务费，甲方在收到乙方提供的税务发票后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次月结清上月的劳务费，甲方在收到乙方提供的税务发票后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次月结清上月的劳务费，甲方在收到乙方提供的税务发票后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次月结清上月的劳务费，甲方在收到乙方提供的税务发票后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次月结清上月的劳务费，甲方在收到乙方提供的税务发票后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次月结清上月的劳务费，甲方在收到乙方提供的税务发票后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次月结清上月的劳务费，甲方在收到乙方提供的税务发票后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次月结清上月的劳务费，甲方在收到乙方提供的税务发票后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8.40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次月结清上月的劳务费，甲方在收到乙方提供的税务发票后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8.40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次月结清上月的劳务费，甲方在收到乙方提供的税务发票后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8.40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次月结清上月的劳务费，甲方在收到乙方提供的税务发票后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8.40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违约责任：（一）按《民法典》中的相关条款执行。（二）未按合同要求提供服务或服务质量不能满足本次磋商要求，甲方会同监督机构、采购代理机构有权终止合同和对乙方违约行为进行追究，同时按政府采购法的有关规定进行相应的处罚。②解决争议的方法：本合同在履行过程中发生的争议，由甲、乙双方当事人协商解决，协商不成的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法定代表人（主要负责人）委托代理人参加磋商时，应提供法定代表人（主要负责人）委托授权书；法定代表人（主要负责人）亲自参加磋商时，应提供法定代表人（主要负责人）身份证明书。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供应商未被列入“信用中国”（www.creditchina.gov.cn）记录的“严重失信主体名单”和“重大税收违法失信主体”名单；未被列入“中国政府采购网”（www.ccgp.gov.cn）中的“政府采购严重违法失信行为记录名单”；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供应商须具有《食品经营许可证》</w:t>
            </w:r>
          </w:p>
        </w:tc>
        <w:tc>
          <w:tcPr>
            <w:tcW w:type="dxa" w:w="1661"/>
          </w:tcPr>
          <w:p>
            <w:pPr>
              <w:pStyle w:val="null3"/>
            </w:pPr>
            <w:r>
              <w:rPr>
                <w:rFonts w:ascii="仿宋_GB2312" w:hAnsi="仿宋_GB2312" w:cs="仿宋_GB2312" w:eastAsia="仿宋_GB2312"/>
              </w:rPr>
              <w:t>其它资料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其它资料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磋商报价表 磋商方案说明书 响应文件封面 其它资料 保证金缴纳凭证或担保机构出具的保函 残疾人福利性单位声明函 磋商分项报价表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法定代表人或被授权人的签字齐全并加盖公章</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磋商报价表 磋商方案说明书 响应文件封面 其它资料 保证金缴纳凭证或担保机构出具的保函 残疾人福利性单位声明函 磋商分项报价表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磋商分项报价表 标的清单 磋商报价表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服务内容及服务邀请应答表 商务应答表 磋商报价表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其它资料</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项目整体设想及规划</w:t>
            </w:r>
          </w:p>
        </w:tc>
        <w:tc>
          <w:tcPr>
            <w:tcW w:type="dxa" w:w="2492"/>
          </w:tcPr>
          <w:p>
            <w:pPr>
              <w:pStyle w:val="null3"/>
            </w:pPr>
            <w:r>
              <w:rPr>
                <w:rFonts w:ascii="仿宋_GB2312" w:hAnsi="仿宋_GB2312" w:cs="仿宋_GB2312" w:eastAsia="仿宋_GB2312"/>
              </w:rPr>
              <w:t>通过对本项目服务对象及项目特点分析，制定适合机关餐厅的服务理念及服务目标。 对本项目分析深刻到位，理念及目标规划科学合理，贴合机关餐厅特点，赋6分； 对本项目分析比较到位，理念及目标规划基本合理，与机关餐厅特点有一定贴合度，赋4分； 对本项目分析简单，理念及目标规划有待优化，没有结合机关餐厅特点，赋2分；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提供本项目的保障方案（应围绕保障管理，食材验收，安全卫生等内容编制）。 方案完善，保障管理、食材验收、安全卫生等重要内容详细突出，针对性强，赋8分； 方案完整，保障管理、食材验收、安全卫生等重要内容较详细，有一定针对性，赋5分； 方案基本完整，保障管理、食材验收、安全卫生等重要内容不够详细，针对性欠缺，赋3分； 方案简单笼统，保障管理、食材验收、安全卫生等重要内容粗略，对本项目没有针对性，赋1分；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食品安全承诺，详细完善、合理可行，赋1分； 消防安全承诺，详细完善、合理可行，赋1分； 食堂环境卫生承诺，详细完善、合理可行，赋1分； 依法用工承诺，详细完善、合理可行，赋1分； 厨房设备安全运行承诺，详细完善、合理可行，赋1分； 菜品保障承诺，详细完善、合理可行，赋1分。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应急方案：突发情况处置，包括停水、停电、停气应急预案，食物中毒应急预案，消防安全突发事件应急预案。 应急方案完善，相关措施科学合理，针对性强，可行性强，赋6分； 应急方案较简单，相关措施基本合理，有一定针对性和可行性，赋4分； 应急方案有待优化，对本项目没有针对性，赋2分；未提供不得分。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提供中国传统习俗、节日的服务保障方案。 服务保障方案明确、完善，可行性强，赋6分； 服务保障方案基本完整，有一定的可行性，赋4分； 服务保障方案笼统，可行性差，有待优化，赋2分；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1、食品安全管理制度，详细完善、操作可行，赋2分； 2、餐厅经营管理制度，详细完善、操作可行，赋2分； 3、质量与服务管理制度，详细完善、操作可行，赋2分； 4、绩效考核管理制度，详细完善、操作可行，赋2分； 5、食材储存管理制度，详细完善、操作可行，赋2分； 6、其他各项管理制度，详细完善、操作可行，赋2分；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供餐模式</w:t>
            </w:r>
          </w:p>
        </w:tc>
        <w:tc>
          <w:tcPr>
            <w:tcW w:type="dxa" w:w="2492"/>
          </w:tcPr>
          <w:p>
            <w:pPr>
              <w:pStyle w:val="null3"/>
            </w:pPr>
            <w:r>
              <w:rPr>
                <w:rFonts w:ascii="仿宋_GB2312" w:hAnsi="仿宋_GB2312" w:cs="仿宋_GB2312" w:eastAsia="仿宋_GB2312"/>
              </w:rPr>
              <w:t>针对本项目设计具有合理、可行性供餐模式： 在保证菜肴质量的前提下，能够做到食谱营养、品种及口味的合理搭配，并不断开发新产品，确保供应品种多样化。 供餐模式符合机关餐厅特点及需求，食谱搭配合理、营养度高，产品创新度高、类型丰富，赋6分； 供餐模式基本符合机关餐厅特点及需求，食谱搭配基本合理、营养均衡，产品有一定创新度、类型多样，赋4分； 供餐模式基本满足机关餐厅需求，但与其特点不够贴合，食谱搭配有待改善，产品创新度及类型欠缺，赋2分；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组织计划和人员构成</w:t>
            </w:r>
          </w:p>
        </w:tc>
        <w:tc>
          <w:tcPr>
            <w:tcW w:type="dxa" w:w="2492"/>
          </w:tcPr>
          <w:p>
            <w:pPr>
              <w:pStyle w:val="null3"/>
            </w:pPr>
            <w:r>
              <w:rPr>
                <w:rFonts w:ascii="仿宋_GB2312" w:hAnsi="仿宋_GB2312" w:cs="仿宋_GB2312" w:eastAsia="仿宋_GB2312"/>
              </w:rPr>
              <w:t>根据本项目特点，具有完善的组织计划和人员构成： 组织计划合理，结构完整清晰，项目组成人员职责任务明确，人员数量和人员专业结构配备充足，能充分满足本项目要求，赋6分； 组织计划基本合理，结构基本完整，项目组成人员职责任务基本明确，人员数量和人员专业结构配备合理，能满足本项目要求，赋4分； 组织计划及结构有待优化，项目组成人员职责任务不够明确，人员数量和人员专业结构配备紧张，勉强满足本项目要求，赋2分；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人员资历</w:t>
            </w:r>
          </w:p>
        </w:tc>
        <w:tc>
          <w:tcPr>
            <w:tcW w:type="dxa" w:w="2492"/>
          </w:tcPr>
          <w:p>
            <w:pPr>
              <w:pStyle w:val="null3"/>
            </w:pPr>
            <w:r>
              <w:rPr>
                <w:rFonts w:ascii="仿宋_GB2312" w:hAnsi="仿宋_GB2312" w:cs="仿宋_GB2312" w:eastAsia="仿宋_GB2312"/>
              </w:rPr>
              <w:t>1、本项目总负责人具有相关部门颁发的餐饮高级职业经理人证书的得2分。 2、本项目厨师具有高级职业资格证得1分，每多提供一个加1分，满分3分； 3、本项目面点师具有高级(含)以上职业资格证书的得1分，每多提供一个加1分，满分2分； 4、提供本项目拟派遣工作人员的健康承诺书，每提供1名工作人员的承诺书加0.5分，最多得3分。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提供供应商2023年1月1日至今（以合同签订时间为准）类似项目业绩，每提供一个得2分，满分10分。 （以磋商响应文件中提供的合同复印件加盖公章为准）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对食品质量与卫生进行日常检查的措施、厨房设备日常维护措施和突发情况的应急预案等（包括停水、停电、停气应急预案，食物中毒应急预案，消防安全突发事件应急预案）。 应急保障措施全面、有效、合理、规范、可实施性强，得4分； 应急保障措施有效、合理，具有一定实施性，得2分； 应急保障措施简单、不规范，得1分；未提供得0分。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满足竞争性磋商文件要求且报价最低的投标报价为评标基准价，其价格分为满20分。报价得分=（评标基准价/最终投标报价）×价格分（20） 本项目为非专门面向中小企业采购项目，符合政策要求的供应商，给予10%价格扣除，用扣除后的价格参与评审。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详见附件：磋商方案说明书</w:t>
      </w:r>
    </w:p>
    <w:p>
      <w:pPr>
        <w:pStyle w:val="null3"/>
        <w:ind w:firstLine="960"/>
      </w:pPr>
      <w:r>
        <w:rPr>
          <w:rFonts w:ascii="仿宋_GB2312" w:hAnsi="仿宋_GB2312" w:cs="仿宋_GB2312" w:eastAsia="仿宋_GB2312"/>
        </w:rPr>
        <w:t>详见附件：磋商报价表</w:t>
      </w:r>
    </w:p>
    <w:p>
      <w:pPr>
        <w:pStyle w:val="null3"/>
        <w:ind w:firstLine="960"/>
      </w:pPr>
      <w:r>
        <w:rPr>
          <w:rFonts w:ascii="仿宋_GB2312" w:hAnsi="仿宋_GB2312" w:cs="仿宋_GB2312" w:eastAsia="仿宋_GB2312"/>
        </w:rPr>
        <w:t>详见附件：磋商分项报价表</w:t>
      </w:r>
    </w:p>
    <w:p>
      <w:pPr>
        <w:pStyle w:val="null3"/>
        <w:ind w:firstLine="960"/>
      </w:pPr>
      <w:r>
        <w:rPr>
          <w:rFonts w:ascii="仿宋_GB2312" w:hAnsi="仿宋_GB2312" w:cs="仿宋_GB2312" w:eastAsia="仿宋_GB2312"/>
        </w:rPr>
        <w:t>详见附件：保证金缴纳凭证或担保机构出具的保函</w:t>
      </w:r>
    </w:p>
    <w:p>
      <w:pPr>
        <w:pStyle w:val="null3"/>
        <w:ind w:firstLine="960"/>
      </w:pPr>
      <w:r>
        <w:rPr>
          <w:rFonts w:ascii="仿宋_GB2312" w:hAnsi="仿宋_GB2312" w:cs="仿宋_GB2312" w:eastAsia="仿宋_GB2312"/>
        </w:rPr>
        <w:t>详见附件：其它资料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