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版本号：ZD0926-005ZWN20260618002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陕西省第十八届运动会2026年比赛器材采购项目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ZD0926-005ZWN</w:t>
      </w:r>
      <w:r>
        <w:br/>
      </w:r>
      <w:r>
        <w:br/>
      </w:r>
      <w:r>
        <w:br/>
      </w:r>
    </w:p>
    <w:p>
      <w:pPr>
        <w:pStyle w:val="null3"/>
        <w:jc w:val="center"/>
        <w:outlineLvl w:val="2"/>
      </w:pPr>
      <w:r>
        <w:rPr>
          <w:rFonts w:ascii="仿宋_GB2312" w:hAnsi="仿宋_GB2312" w:cs="仿宋_GB2312" w:eastAsia="仿宋_GB2312"/>
          <w:sz w:val="28"/>
          <w:b/>
        </w:rPr>
        <w:t>陕西省第十八届运动会筹委会办公室</w:t>
      </w:r>
    </w:p>
    <w:p>
      <w:pPr>
        <w:pStyle w:val="null3"/>
        <w:jc w:val="center"/>
        <w:outlineLvl w:val="2"/>
      </w:pPr>
      <w:r>
        <w:rPr>
          <w:rFonts w:ascii="仿宋_GB2312" w:hAnsi="仿宋_GB2312" w:cs="仿宋_GB2312" w:eastAsia="仿宋_GB2312"/>
          <w:sz w:val="28"/>
          <w:b/>
        </w:rPr>
        <w:t>正大方略工程咨询有限公司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正大方略工程咨询有限公司</w:t>
      </w:r>
      <w:r>
        <w:rPr>
          <w:rFonts w:ascii="仿宋_GB2312" w:hAnsi="仿宋_GB2312" w:cs="仿宋_GB2312" w:eastAsia="仿宋_GB2312"/>
        </w:rPr>
        <w:t>（以下简称“代理机构”）受</w:t>
      </w:r>
      <w:r>
        <w:rPr>
          <w:rFonts w:ascii="仿宋_GB2312" w:hAnsi="仿宋_GB2312" w:cs="仿宋_GB2312" w:eastAsia="仿宋_GB2312"/>
        </w:rPr>
        <w:t>陕西省第十八届运动会筹委会办公室</w:t>
      </w:r>
      <w:r>
        <w:rPr>
          <w:rFonts w:ascii="仿宋_GB2312" w:hAnsi="仿宋_GB2312" w:cs="仿宋_GB2312" w:eastAsia="仿宋_GB2312"/>
        </w:rPr>
        <w:t>委托，拟对</w:t>
      </w:r>
      <w:r>
        <w:rPr>
          <w:rFonts w:ascii="仿宋_GB2312" w:hAnsi="仿宋_GB2312" w:cs="仿宋_GB2312" w:eastAsia="仿宋_GB2312"/>
        </w:rPr>
        <w:t>陕西省第十八届运动会2026年比赛器材采购项目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ZD0926-005ZWN</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陕西省第十八届运动会2026年比赛器材采购项目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陕西省第十八届运动会比赛专用器材，所供货物须满足省级综合性运动会竞赛规则、裁判执法、训练使用、赛事安全要求，功能完整、性能稳定、认证齐全，能够保障赛事公平、安全、顺利举办。供应商须提供送货、搬运、安装调试、赛事技术保障及售后服务等全套服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陕西省第十八届运动会筹委会办公室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渭南市渭清路体育中心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十八运 竞赛部 李锦波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18402975655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正大方略工程咨询有限公司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西安市雁塔区南二环东段22号（凯森盛世1号）A座27楼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王蕾、张钢钟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029-88892218/801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采购包1：1,499,725.00元</w:t>
            </w:r>
          </w:p>
          <w:p>
            <w:pPr>
              <w:pStyle w:val="null3"/>
            </w:pPr>
            <w:r>
              <w:rPr>
                <w:rFonts w:ascii="仿宋_GB2312" w:hAnsi="仿宋_GB2312" w:cs="仿宋_GB2312" w:eastAsia="仿宋_GB2312"/>
              </w:rPr>
              <w:t>采购包2：1,616,520.00元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招标代理服务收费管理暂行办法的通知》（计价格〔2002〕1980号）和《关于招标代理服务收费有关问题的通知》（发改办价格〔2003〕857号）文件规定按标准下浮20%收取。具体收费金额将在中标（成交）结果公告中公布。开户名称：正大方略工程咨询有限公司 开户行名称：西安银行东二环南段支行 账号：209011580000076430</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陕西省第十八届运动会筹委会办公室</w:t>
      </w:r>
      <w:r>
        <w:rPr>
          <w:rFonts w:ascii="仿宋_GB2312" w:hAnsi="仿宋_GB2312" w:cs="仿宋_GB2312" w:eastAsia="仿宋_GB2312"/>
        </w:rPr>
        <w:t>和</w:t>
      </w:r>
      <w:r>
        <w:rPr>
          <w:rFonts w:ascii="仿宋_GB2312" w:hAnsi="仿宋_GB2312" w:cs="仿宋_GB2312" w:eastAsia="仿宋_GB2312"/>
        </w:rPr>
        <w:t>正大方略工程咨询有限公司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陕西省第十八届运动会筹委会办公室</w:t>
      </w:r>
      <w:r>
        <w:rPr>
          <w:rFonts w:ascii="仿宋_GB2312" w:hAnsi="仿宋_GB2312" w:cs="仿宋_GB2312" w:eastAsia="仿宋_GB2312"/>
        </w:rPr>
        <w:t>负责解释。除上述招标文件内容，其他内容由</w:t>
      </w:r>
      <w:r>
        <w:rPr>
          <w:rFonts w:ascii="仿宋_GB2312" w:hAnsi="仿宋_GB2312" w:cs="仿宋_GB2312" w:eastAsia="仿宋_GB2312"/>
        </w:rPr>
        <w:t>正大方略工程咨询有限公司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陕西省第十八届运动会筹委会办公室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正大方略工程咨询有限公司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联系人：王蕾、张钢钟</w:t>
      </w:r>
    </w:p>
    <w:p>
      <w:pPr>
        <w:pStyle w:val="null3"/>
      </w:pPr>
      <w:r>
        <w:rPr>
          <w:rFonts w:ascii="仿宋_GB2312" w:hAnsi="仿宋_GB2312" w:cs="仿宋_GB2312" w:eastAsia="仿宋_GB2312"/>
        </w:rPr>
        <w:t>联系电话：029-88892218/801</w:t>
      </w:r>
    </w:p>
    <w:p>
      <w:pPr>
        <w:pStyle w:val="null3"/>
      </w:pPr>
      <w:r>
        <w:rPr>
          <w:rFonts w:ascii="仿宋_GB2312" w:hAnsi="仿宋_GB2312" w:cs="仿宋_GB2312" w:eastAsia="仿宋_GB2312"/>
        </w:rPr>
        <w:t>地址：西安市雁塔区南二环东段22号（凯森盛世1号）A座27楼招标六部</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陕西省第十八届运动会比赛专用器材，所供货物须满足省级综合性运动会竞赛规则、裁判执法、训练使用、赛事安全要求，功能完整、性能稳定、认证齐全，能够保障赛事公平、安全、顺利举办。供应商须提供送货、搬运、安装调试、赛事技术保障及售后服务等全套服务。</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1,499,725.00</w:t>
      </w:r>
    </w:p>
    <w:p>
      <w:pPr>
        <w:pStyle w:val="null3"/>
      </w:pPr>
      <w:r>
        <w:rPr>
          <w:rFonts w:ascii="仿宋_GB2312" w:hAnsi="仿宋_GB2312" w:cs="仿宋_GB2312" w:eastAsia="仿宋_GB2312"/>
        </w:rPr>
        <w:t>采购包最高限价（元）: 1,499,725.00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跳水射击田径含竞走类项目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1,499,725.00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1,616,520.00</w:t>
      </w:r>
    </w:p>
    <w:p>
      <w:pPr>
        <w:pStyle w:val="null3"/>
      </w:pPr>
      <w:r>
        <w:rPr>
          <w:rFonts w:ascii="仿宋_GB2312" w:hAnsi="仿宋_GB2312" w:cs="仿宋_GB2312" w:eastAsia="仿宋_GB2312"/>
        </w:rPr>
        <w:t>采购包最高限价（元）: 1,616,520.00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武术体操门球类项目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1,616,520.00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标的名称：跳水射击田径含竞走类项目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采购清单：（核心产品：电子计时）</w:t>
            </w:r>
          </w:p>
          <w:tbl>
            <w:tblPr>
              <w:tblBorders>
                <w:top w:val="none" w:color="000000" w:sz="4"/>
                <w:left w:val="none" w:color="000000" w:sz="4"/>
                <w:bottom w:val="none" w:color="000000" w:sz="4"/>
                <w:right w:val="none" w:color="000000" w:sz="4"/>
                <w:insideH w:val="none"/>
                <w:insideV w:val="none"/>
              </w:tblBorders>
            </w:tblPr>
            <w:tblGrid>
              <w:gridCol w:w="140"/>
              <w:gridCol w:w="272"/>
              <w:gridCol w:w="154"/>
              <w:gridCol w:w="489"/>
              <w:gridCol w:w="846"/>
              <w:gridCol w:w="335"/>
              <w:gridCol w:w="317"/>
            </w:tblGrid>
            <w:tr>
              <w:tc>
                <w:tcPr>
                  <w:tcW w:type="dxa" w:w="1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2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项目</w:t>
                  </w:r>
                </w:p>
              </w:tc>
              <w:tc>
                <w:tcPr>
                  <w:tcW w:type="dxa" w:w="1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4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竞赛专用器材名称</w:t>
                  </w:r>
                </w:p>
              </w:tc>
              <w:tc>
                <w:tcPr>
                  <w:tcW w:type="dxa" w:w="8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功能、规格、说明</w:t>
                  </w:r>
                </w:p>
              </w:tc>
              <w:tc>
                <w:tcPr>
                  <w:tcW w:type="dxa" w:w="3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总数</w:t>
                  </w:r>
                </w:p>
              </w:tc>
              <w:tc>
                <w:tcPr>
                  <w:tcW w:type="dxa" w:w="3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备注</w:t>
                  </w:r>
                </w:p>
              </w:tc>
            </w:tr>
            <w:tr>
              <w:tc>
                <w:tcPr>
                  <w:tcW w:type="dxa" w:w="1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跳水</w:t>
                  </w: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跳</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板（陆上）</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国产跳板（</w:t>
                  </w:r>
                  <w:r>
                    <w:rPr>
                      <w:rFonts w:ascii="仿宋_GB2312" w:hAnsi="仿宋_GB2312" w:cs="仿宋_GB2312" w:eastAsia="仿宋_GB2312"/>
                      <w:sz w:val="21"/>
                      <w:color w:val="000000"/>
                    </w:rPr>
                    <w:t>3块），跳水板是由整块6070-T651铝合金经过高热挤压而成。在机器进行调整与装配以后，在跳水板表面涂抹水性彩色热固化环氧树脂。最外一层表面上需覆盖白色硅砂和白色的三氧化二铝，以实现防滑功能。跳水板的底面支点部位受到使用环氧胶粘剂粘贴在主板上的专门形成的橡胶垫层保护。主要用途:跳水训练</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3块</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跳板前后端固定支座</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用</w:t>
                  </w:r>
                  <w:r>
                    <w:rPr>
                      <w:rFonts w:ascii="仿宋_GB2312" w:hAnsi="仿宋_GB2312" w:cs="仿宋_GB2312" w:eastAsia="仿宋_GB2312"/>
                      <w:sz w:val="21"/>
                      <w:color w:val="000000"/>
                    </w:rPr>
                    <w:t>100mm×50mm×4mm镀锌矩管，以及12mm厚钢板制作。(最大承重力800kg)</w:t>
                  </w:r>
                </w:p>
              </w:tc>
              <w:tc>
                <w:tcPr>
                  <w:tcW w:type="dxa" w:w="3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6个</w:t>
                  </w:r>
                </w:p>
              </w:tc>
              <w:tc>
                <w:tcPr>
                  <w:tcW w:type="dxa" w:w="3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vMerge/>
                  <w:tcBorders>
                    <w:top w:val="none" w:color="000000" w:sz="4"/>
                    <w:left w:val="single" w:color="000000" w:sz="4"/>
                    <w:bottom w:val="single" w:color="000000" w:sz="4"/>
                    <w:right w:val="single" w:color="000000" w:sz="4"/>
                  </w:tcBorders>
                </w:tcPr>
                <w:p/>
              </w:tc>
              <w:tc>
                <w:tcPr>
                  <w:tcW w:type="dxa" w:w="489"/>
                  <w:vMerge/>
                  <w:tcBorders>
                    <w:top w:val="none" w:color="000000" w:sz="4"/>
                    <w:left w:val="single" w:color="000000" w:sz="4"/>
                    <w:bottom w:val="single" w:color="000000" w:sz="4"/>
                    <w:right w:val="single" w:color="000000" w:sz="4"/>
                  </w:tcBorders>
                </w:tcP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上下截面</w:t>
                  </w:r>
                  <w:r>
                    <w:rPr>
                      <w:rFonts w:ascii="仿宋_GB2312" w:hAnsi="仿宋_GB2312" w:cs="仿宋_GB2312" w:eastAsia="仿宋_GB2312"/>
                      <w:sz w:val="21"/>
                      <w:color w:val="000000"/>
                    </w:rPr>
                    <w:t>760＊580mm，高度1300mm，底面用16根20*100mm的膨胀螺栓固定，该底座表面清洁除锈，刷防锈漆2道，晕光清漆1道。</w:t>
                  </w:r>
                </w:p>
              </w:tc>
              <w:tc>
                <w:tcPr>
                  <w:tcW w:type="dxa" w:w="335"/>
                  <w:vMerge/>
                  <w:tcBorders>
                    <w:top w:val="none" w:color="000000" w:sz="4"/>
                    <w:left w:val="single" w:color="000000" w:sz="4"/>
                    <w:bottom w:val="single" w:color="000000" w:sz="4"/>
                    <w:right w:val="single" w:color="000000" w:sz="4"/>
                  </w:tcBorders>
                </w:tcPr>
                <w:p/>
              </w:tc>
              <w:tc>
                <w:tcPr>
                  <w:tcW w:type="dxa" w:w="317"/>
                  <w:vMerge/>
                  <w:tcBorders>
                    <w:top w:val="none" w:color="000000" w:sz="4"/>
                    <w:left w:val="single" w:color="000000" w:sz="4"/>
                    <w:bottom w:val="single" w:color="000000" w:sz="4"/>
                    <w:right w:val="single" w:color="000000" w:sz="4"/>
                  </w:tcBorders>
                </w:tc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海绵坑跳板前后端固定支座</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用</w:t>
                  </w:r>
                  <w:r>
                    <w:rPr>
                      <w:rFonts w:ascii="仿宋_GB2312" w:hAnsi="仿宋_GB2312" w:cs="仿宋_GB2312" w:eastAsia="仿宋_GB2312"/>
                      <w:sz w:val="21"/>
                      <w:color w:val="000000"/>
                    </w:rPr>
                    <w:t>100mm×50mm×4mm镀锌矩管，以及12mm厚钢板制作。(最大承重力800kg)</w:t>
                  </w:r>
                </w:p>
              </w:tc>
              <w:tc>
                <w:tcPr>
                  <w:tcW w:type="dxa" w:w="3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2个</w:t>
                  </w:r>
                </w:p>
              </w:tc>
              <w:tc>
                <w:tcPr>
                  <w:tcW w:type="dxa" w:w="3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vMerge/>
                  <w:tcBorders>
                    <w:top w:val="none" w:color="000000" w:sz="4"/>
                    <w:left w:val="single" w:color="000000" w:sz="4"/>
                    <w:bottom w:val="single" w:color="000000" w:sz="4"/>
                    <w:right w:val="single" w:color="000000" w:sz="4"/>
                  </w:tcBorders>
                </w:tcPr>
                <w:p/>
              </w:tc>
              <w:tc>
                <w:tcPr>
                  <w:tcW w:type="dxa" w:w="489"/>
                  <w:vMerge/>
                  <w:tcBorders>
                    <w:top w:val="none" w:color="000000" w:sz="4"/>
                    <w:left w:val="single" w:color="000000" w:sz="4"/>
                    <w:bottom w:val="single" w:color="000000" w:sz="4"/>
                    <w:right w:val="single" w:color="000000" w:sz="4"/>
                  </w:tcBorders>
                </w:tcP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上下截面</w:t>
                  </w:r>
                  <w:r>
                    <w:rPr>
                      <w:rFonts w:ascii="仿宋_GB2312" w:hAnsi="仿宋_GB2312" w:cs="仿宋_GB2312" w:eastAsia="仿宋_GB2312"/>
                      <w:sz w:val="21"/>
                      <w:color w:val="000000"/>
                    </w:rPr>
                    <w:t>760＊580mm，高度1300mm，底面用16根20*100mm的膨胀螺栓固定，该底座表面清洁除锈，刷防锈漆2道，晕光清漆1道。</w:t>
                  </w:r>
                </w:p>
              </w:tc>
              <w:tc>
                <w:tcPr>
                  <w:tcW w:type="dxa" w:w="335"/>
                  <w:vMerge/>
                  <w:tcBorders>
                    <w:top w:val="none" w:color="000000" w:sz="4"/>
                    <w:left w:val="single" w:color="000000" w:sz="4"/>
                    <w:bottom w:val="single" w:color="000000" w:sz="4"/>
                    <w:right w:val="single" w:color="000000" w:sz="4"/>
                  </w:tcBorders>
                </w:tcPr>
                <w:p/>
              </w:tc>
              <w:tc>
                <w:tcPr>
                  <w:tcW w:type="dxa" w:w="317"/>
                  <w:vMerge/>
                  <w:tcBorders>
                    <w:top w:val="none" w:color="000000" w:sz="4"/>
                    <w:left w:val="single" w:color="000000" w:sz="4"/>
                    <w:bottom w:val="single" w:color="000000" w:sz="4"/>
                    <w:right w:val="single" w:color="000000" w:sz="4"/>
                  </w:tcBorders>
                </w:tc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弹网缓冲坑道</w:t>
                  </w:r>
                </w:p>
              </w:tc>
              <w:tc>
                <w:tcPr>
                  <w:tcW w:type="dxa" w:w="8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外面材料采用天兰色</w:t>
                  </w:r>
                  <w:r>
                    <w:rPr>
                      <w:rFonts w:ascii="仿宋_GB2312" w:hAnsi="仿宋_GB2312" w:cs="仿宋_GB2312" w:eastAsia="仿宋_GB2312"/>
                      <w:sz w:val="21"/>
                      <w:color w:val="000000"/>
                    </w:rPr>
                    <w:t>PVC，表面无皱纹，里面材料采用聚乙烯压缩海绵，铺满网底及四面墙面，保护运动员在弹网训练时的安全，避免受伤。</w:t>
                  </w:r>
                </w:p>
              </w:tc>
              <w:tc>
                <w:tcPr>
                  <w:tcW w:type="dxa" w:w="3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4套</w:t>
                  </w:r>
                </w:p>
              </w:tc>
              <w:tc>
                <w:tcPr>
                  <w:tcW w:type="dxa" w:w="3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vMerge/>
                  <w:tcBorders>
                    <w:top w:val="none" w:color="000000" w:sz="4"/>
                    <w:left w:val="single" w:color="000000" w:sz="4"/>
                    <w:bottom w:val="single" w:color="000000" w:sz="4"/>
                    <w:right w:val="single" w:color="000000" w:sz="4"/>
                  </w:tcBorders>
                </w:tcP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四周保护垫</w:t>
                  </w:r>
                </w:p>
              </w:tc>
              <w:tc>
                <w:tcPr>
                  <w:tcW w:type="dxa" w:w="846"/>
                  <w:vMerge/>
                  <w:tcBorders>
                    <w:top w:val="none" w:color="000000" w:sz="4"/>
                    <w:left w:val="single" w:color="000000" w:sz="4"/>
                    <w:bottom w:val="single" w:color="000000" w:sz="4"/>
                    <w:right w:val="single" w:color="000000" w:sz="4"/>
                  </w:tcBorders>
                </w:tcPr>
                <w:p/>
              </w:tc>
              <w:tc>
                <w:tcPr>
                  <w:tcW w:type="dxa" w:w="335"/>
                  <w:vMerge/>
                  <w:tcBorders>
                    <w:top w:val="none" w:color="000000" w:sz="4"/>
                    <w:left w:val="single" w:color="000000" w:sz="4"/>
                    <w:bottom w:val="single" w:color="000000" w:sz="4"/>
                    <w:right w:val="single" w:color="000000" w:sz="4"/>
                  </w:tcBorders>
                </w:tcPr>
                <w:p/>
              </w:tc>
              <w:tc>
                <w:tcPr>
                  <w:tcW w:type="dxa" w:w="317"/>
                  <w:vMerge/>
                  <w:tcBorders>
                    <w:top w:val="none" w:color="000000" w:sz="4"/>
                    <w:left w:val="single" w:color="000000" w:sz="4"/>
                    <w:bottom w:val="single" w:color="000000" w:sz="4"/>
                    <w:right w:val="single" w:color="000000" w:sz="4"/>
                  </w:tcBorders>
                </w:tc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弹网坑道</w:t>
                  </w:r>
                </w:p>
              </w:tc>
              <w:tc>
                <w:tcPr>
                  <w:tcW w:type="dxa" w:w="8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长</w:t>
                  </w:r>
                  <w:r>
                    <w:rPr>
                      <w:rFonts w:ascii="仿宋_GB2312" w:hAnsi="仿宋_GB2312" w:cs="仿宋_GB2312" w:eastAsia="仿宋_GB2312"/>
                      <w:sz w:val="21"/>
                      <w:color w:val="000000"/>
                    </w:rPr>
                    <w:t>*宽：7000mm*3500mm，弹网四周钢管架，固定于坑道周边。四周有网钩，用于连接弹网和网架，网钩之间有间隔，外部由软包保护，防止运动员磕碰。</w:t>
                  </w:r>
                </w:p>
              </w:tc>
              <w:tc>
                <w:tcPr>
                  <w:tcW w:type="dxa" w:w="3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4套</w:t>
                  </w:r>
                </w:p>
              </w:tc>
              <w:tc>
                <w:tcPr>
                  <w:tcW w:type="dxa" w:w="3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vMerge/>
                  <w:tcBorders>
                    <w:top w:val="none" w:color="000000" w:sz="4"/>
                    <w:left w:val="single" w:color="000000" w:sz="4"/>
                    <w:bottom w:val="single" w:color="000000" w:sz="4"/>
                    <w:right w:val="single" w:color="000000" w:sz="4"/>
                  </w:tcBorders>
                </w:tcP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四周钢管架</w:t>
                  </w:r>
                </w:p>
              </w:tc>
              <w:tc>
                <w:tcPr>
                  <w:tcW w:type="dxa" w:w="846"/>
                  <w:vMerge/>
                  <w:tcBorders>
                    <w:top w:val="none" w:color="000000" w:sz="4"/>
                    <w:left w:val="single" w:color="000000" w:sz="4"/>
                    <w:bottom w:val="single" w:color="000000" w:sz="4"/>
                    <w:right w:val="single" w:color="000000" w:sz="4"/>
                  </w:tcBorders>
                </w:tcPr>
                <w:p/>
              </w:tc>
              <w:tc>
                <w:tcPr>
                  <w:tcW w:type="dxa" w:w="335"/>
                  <w:vMerge/>
                  <w:tcBorders>
                    <w:top w:val="none" w:color="000000" w:sz="4"/>
                    <w:left w:val="single" w:color="000000" w:sz="4"/>
                    <w:bottom w:val="single" w:color="000000" w:sz="4"/>
                    <w:right w:val="single" w:color="000000" w:sz="4"/>
                  </w:tcBorders>
                </w:tcPr>
                <w:p/>
              </w:tc>
              <w:tc>
                <w:tcPr>
                  <w:tcW w:type="dxa" w:w="317"/>
                  <w:vMerge/>
                  <w:tcBorders>
                    <w:top w:val="none" w:color="000000" w:sz="4"/>
                    <w:left w:val="single" w:color="000000" w:sz="4"/>
                    <w:bottom w:val="single" w:color="000000" w:sz="4"/>
                    <w:right w:val="single" w:color="000000" w:sz="4"/>
                  </w:tcBorders>
                </w:tc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vMerge/>
                  <w:tcBorders>
                    <w:top w:val="none" w:color="000000" w:sz="4"/>
                    <w:left w:val="single" w:color="000000" w:sz="4"/>
                    <w:bottom w:val="single" w:color="000000" w:sz="4"/>
                    <w:right w:val="single" w:color="000000" w:sz="4"/>
                  </w:tcBorders>
                </w:tcP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（含钢钩）</w:t>
                  </w:r>
                </w:p>
              </w:tc>
              <w:tc>
                <w:tcPr>
                  <w:tcW w:type="dxa" w:w="846"/>
                  <w:vMerge/>
                  <w:tcBorders>
                    <w:top w:val="none" w:color="000000" w:sz="4"/>
                    <w:left w:val="single" w:color="000000" w:sz="4"/>
                    <w:bottom w:val="single" w:color="000000" w:sz="4"/>
                    <w:right w:val="single" w:color="000000" w:sz="4"/>
                  </w:tcBorders>
                </w:tcPr>
                <w:p/>
              </w:tc>
              <w:tc>
                <w:tcPr>
                  <w:tcW w:type="dxa" w:w="335"/>
                  <w:vMerge/>
                  <w:tcBorders>
                    <w:top w:val="none" w:color="000000" w:sz="4"/>
                    <w:left w:val="single" w:color="000000" w:sz="4"/>
                    <w:bottom w:val="single" w:color="000000" w:sz="4"/>
                    <w:right w:val="single" w:color="000000" w:sz="4"/>
                  </w:tcBorders>
                </w:tcPr>
                <w:p/>
              </w:tc>
              <w:tc>
                <w:tcPr>
                  <w:tcW w:type="dxa" w:w="317"/>
                  <w:vMerge/>
                  <w:tcBorders>
                    <w:top w:val="none" w:color="000000" w:sz="4"/>
                    <w:left w:val="single" w:color="000000" w:sz="4"/>
                    <w:bottom w:val="single" w:color="000000" w:sz="4"/>
                    <w:right w:val="single" w:color="000000" w:sz="4"/>
                  </w:tcBorders>
                </w:tc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弹网缓冲坑道橡筋保护垫</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厚度</w:t>
                  </w:r>
                  <w:r>
                    <w:rPr>
                      <w:rFonts w:ascii="仿宋_GB2312" w:hAnsi="仿宋_GB2312" w:cs="仿宋_GB2312" w:eastAsia="仿宋_GB2312"/>
                      <w:sz w:val="21"/>
                      <w:color w:val="000000"/>
                    </w:rPr>
                    <w:t>50mm，采用天兰色PVC，表面无皱纹，采用聚乙烯压缩海绵，铺在弹网橡筋上，保护运动员在弹网训练时的安全，避免受伤。</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4套</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弹网网片</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长</w:t>
                  </w:r>
                  <w:r>
                    <w:rPr>
                      <w:rFonts w:ascii="仿宋_GB2312" w:hAnsi="仿宋_GB2312" w:cs="仿宋_GB2312" w:eastAsia="仿宋_GB2312"/>
                      <w:sz w:val="21"/>
                      <w:color w:val="000000"/>
                    </w:rPr>
                    <w:t>*宽：5800mm*2500mm，网片采用耐磨高弹涤纶丝片交叉编织而成</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4个</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橡皮筋</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外置材料为（高弹尼龙材质），内质材料为（高强度橡筋）</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300根</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引体向上架</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高</w:t>
                  </w:r>
                  <w:r>
                    <w:rPr>
                      <w:rFonts w:ascii="仿宋_GB2312" w:hAnsi="仿宋_GB2312" w:cs="仿宋_GB2312" w:eastAsia="仿宋_GB2312"/>
                      <w:sz w:val="21"/>
                      <w:color w:val="000000"/>
                    </w:rPr>
                    <w:t>2.7m，每档90cm，站柱为φ20cm水曲柳，厚度5cm，两档为一组。进口水曲柳制作。</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3组</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技巧海棉垫</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2米×1.2米×0.1米</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20个</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跳水专用海绵垫</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3米×1.8米×0.3米外套为天蓝色帆布，内胎为20倍海绵:20倍海绵:25%压陷硬度≥112N，65%压陷硬度≥225N:在测试速度500mm/min条件下:拉伸强度≥94KPa，断裂伸长率≥120%</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9个</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射击</w:t>
                  </w:r>
                </w:p>
              </w:tc>
              <w:tc>
                <w:tcPr>
                  <w:tcW w:type="dxa" w:w="214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1.射击步手枪项目：专项器材</w:t>
                  </w: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4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器材名称</w:t>
                  </w:r>
                </w:p>
              </w:tc>
              <w:tc>
                <w:tcPr>
                  <w:tcW w:type="dxa" w:w="8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功能、规格、说明</w:t>
                  </w:r>
                </w:p>
              </w:tc>
              <w:tc>
                <w:tcPr>
                  <w:tcW w:type="dxa" w:w="3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总数</w:t>
                  </w:r>
                </w:p>
              </w:tc>
              <w:tc>
                <w:tcPr>
                  <w:tcW w:type="dxa" w:w="3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备注</w:t>
                  </w: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水平仪</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材质塑料能测量水平面</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1台</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电子台秤</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15公斤5公斤各1台 台面约30cmx30cm（±5cm）</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2台</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电子靶打印纸</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电子靶控制台专用，热敏纸，</w:t>
                  </w:r>
                  <w:r>
                    <w:rPr>
                      <w:rFonts w:ascii="仿宋_GB2312" w:hAnsi="仿宋_GB2312" w:cs="仿宋_GB2312" w:eastAsia="仿宋_GB2312"/>
                      <w:sz w:val="21"/>
                      <w:color w:val="000000"/>
                    </w:rPr>
                    <w:t>80*60mm，30m/卷</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500卷</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50米黑胶靶带</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橡胶制品，适用于电子靶</w:t>
                  </w:r>
                  <w:r>
                    <w:rPr>
                      <w:rFonts w:ascii="仿宋_GB2312" w:hAnsi="仿宋_GB2312" w:cs="仿宋_GB2312" w:eastAsia="仿宋_GB2312"/>
                      <w:sz w:val="21"/>
                      <w:color w:val="000000"/>
                    </w:rPr>
                    <w:t>5.5mX25cm，</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300卷</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10米黑纸带</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适用于电子靶，</w:t>
                  </w:r>
                  <w:r>
                    <w:rPr>
                      <w:rFonts w:ascii="仿宋_GB2312" w:hAnsi="仿宋_GB2312" w:cs="仿宋_GB2312" w:eastAsia="仿宋_GB2312"/>
                      <w:sz w:val="21"/>
                      <w:color w:val="000000"/>
                    </w:rPr>
                    <w:t>30mX宽9.0cm，</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1000卷</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10米步枪靶面</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适用于电子靶，靶直径</w:t>
                  </w:r>
                  <w:r>
                    <w:rPr>
                      <w:rFonts w:ascii="仿宋_GB2312" w:hAnsi="仿宋_GB2312" w:cs="仿宋_GB2312" w:eastAsia="仿宋_GB2312"/>
                      <w:sz w:val="21"/>
                      <w:color w:val="000000"/>
                    </w:rPr>
                    <w:t>30.5mm，</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800张</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10米步手枪背靶</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适用于电子靶，外寸直径</w:t>
                  </w:r>
                  <w:r>
                    <w:rPr>
                      <w:rFonts w:ascii="仿宋_GB2312" w:hAnsi="仿宋_GB2312" w:cs="仿宋_GB2312" w:eastAsia="仿宋_GB2312"/>
                      <w:sz w:val="21"/>
                      <w:color w:val="000000"/>
                    </w:rPr>
                    <w:t>17.8x17.8cm，</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800张</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50米步枪靶面</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适用于电子靶，靶直径</w:t>
                  </w:r>
                  <w:r>
                    <w:rPr>
                      <w:rFonts w:ascii="仿宋_GB2312" w:hAnsi="仿宋_GB2312" w:cs="仿宋_GB2312" w:eastAsia="仿宋_GB2312"/>
                      <w:sz w:val="21"/>
                      <w:color w:val="000000"/>
                    </w:rPr>
                    <w:t>112.5mm，</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1500张</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25米速射靶面</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适用于电子靶，靶直径</w:t>
                  </w:r>
                  <w:r>
                    <w:rPr>
                      <w:rFonts w:ascii="仿宋_GB2312" w:hAnsi="仿宋_GB2312" w:cs="仿宋_GB2312" w:eastAsia="仿宋_GB2312"/>
                      <w:sz w:val="21"/>
                      <w:color w:val="000000"/>
                    </w:rPr>
                    <w:t>500mm，</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500张</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背靶</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口径项目，适用于电子靶，</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500张</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橡胶衬</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口径项目，适用于电子靶，材质橡胶，</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1000张</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橡胶靶衬</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速射项目，适用于电子靶，材质橡胶，</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200张</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衬靶靶纸</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慢射大靶纸</w:t>
                  </w:r>
                  <w:r>
                    <w:rPr>
                      <w:rFonts w:ascii="仿宋_GB2312" w:hAnsi="仿宋_GB2312" w:cs="仿宋_GB2312" w:eastAsia="仿宋_GB2312"/>
                      <w:sz w:val="21"/>
                      <w:color w:val="000000"/>
                    </w:rPr>
                    <w:t>1000张，步枪靶纸500张520mmx520mm，</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1500张</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25米慢射靶面</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靶直径</w:t>
                  </w:r>
                  <w:r>
                    <w:rPr>
                      <w:rFonts w:ascii="仿宋_GB2312" w:hAnsi="仿宋_GB2312" w:cs="仿宋_GB2312" w:eastAsia="仿宋_GB2312"/>
                      <w:sz w:val="21"/>
                      <w:color w:val="000000"/>
                    </w:rPr>
                    <w:t>200毫米</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1000张</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取证靶靶面</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靶机原装取证靶靶面（按小口径靶位数量购买，可适当增加备用量），或</w:t>
                  </w:r>
                  <w:r>
                    <w:rPr>
                      <w:rFonts w:ascii="仿宋_GB2312" w:hAnsi="仿宋_GB2312" w:cs="仿宋_GB2312" w:eastAsia="仿宋_GB2312"/>
                      <w:sz w:val="21"/>
                      <w:color w:val="000000"/>
                    </w:rPr>
                    <w:t>50米慢射或25米纸质靶面和合适大小的黑色硬卡纸</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1批</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取证纸</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50米步枪纸质靶纸或黑色取证纸</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1批</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决赛</w:t>
                  </w:r>
                  <w:r>
                    <w:rPr>
                      <w:rFonts w:ascii="仿宋_GB2312" w:hAnsi="仿宋_GB2312" w:cs="仿宋_GB2312" w:eastAsia="仿宋_GB2312"/>
                      <w:sz w:val="21"/>
                      <w:color w:val="000000"/>
                    </w:rPr>
                    <w:t>25米电子靶</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符合赛事标准的电子靶设备，与现有电子靶系统兼容</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2组</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14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2.射击飞碟项目：</w:t>
                  </w: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4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器材名称</w:t>
                  </w:r>
                </w:p>
              </w:tc>
              <w:tc>
                <w:tcPr>
                  <w:tcW w:type="dxa" w:w="8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功能、规格、说明</w:t>
                  </w:r>
                </w:p>
              </w:tc>
              <w:tc>
                <w:tcPr>
                  <w:tcW w:type="dxa" w:w="3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总数</w:t>
                  </w:r>
                </w:p>
              </w:tc>
              <w:tc>
                <w:tcPr>
                  <w:tcW w:type="dxa" w:w="3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备注</w:t>
                  </w: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距离牌</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40X30CM的木质牌子,用鲜艳的颜色标有55米(1个/靶场)、76米（1个/靶场）、67米(2个/靶场)、69米（2个/靶场）。</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5套</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高度测量杆（多向、双向）</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地面高度</w:t>
                  </w:r>
                  <w:r>
                    <w:rPr>
                      <w:rFonts w:ascii="仿宋_GB2312" w:hAnsi="仿宋_GB2312" w:cs="仿宋_GB2312" w:eastAsia="仿宋_GB2312"/>
                      <w:sz w:val="21"/>
                      <w:color w:val="000000"/>
                    </w:rPr>
                    <w:t>4米，每10cm有刻度。1个/靶场</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5套</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界杆（双向）</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地面高度</w:t>
                  </w:r>
                  <w:r>
                    <w:rPr>
                      <w:rFonts w:ascii="仿宋_GB2312" w:hAnsi="仿宋_GB2312" w:cs="仿宋_GB2312" w:eastAsia="仿宋_GB2312"/>
                      <w:sz w:val="21"/>
                      <w:color w:val="000000"/>
                    </w:rPr>
                    <w:t>1.5米，红白相间，2个/靶场。</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10个</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中心标志杆</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地面高度</w:t>
                  </w:r>
                  <w:r>
                    <w:rPr>
                      <w:rFonts w:ascii="仿宋_GB2312" w:hAnsi="仿宋_GB2312" w:cs="仿宋_GB2312" w:eastAsia="仿宋_GB2312"/>
                      <w:sz w:val="21"/>
                      <w:color w:val="000000"/>
                    </w:rPr>
                    <w:t>1.1米，红白相间。1个/靶场。</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5个</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套圈（双向）</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地面距圆心高度</w:t>
                  </w:r>
                  <w:r>
                    <w:rPr>
                      <w:rFonts w:ascii="仿宋_GB2312" w:hAnsi="仿宋_GB2312" w:cs="仿宋_GB2312" w:eastAsia="仿宋_GB2312"/>
                      <w:sz w:val="21"/>
                      <w:color w:val="000000"/>
                    </w:rPr>
                    <w:t>4.6米,杆长4.15米，圆心直径90CM，下端可稳定支撑。1个/靶场</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5个</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轮（组）次公示牌</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分别标有正在比赛的轮（组）次</w:t>
                  </w:r>
                  <w:r>
                    <w:rPr>
                      <w:rFonts w:ascii="仿宋_GB2312" w:hAnsi="仿宋_GB2312" w:cs="仿宋_GB2312" w:eastAsia="仿宋_GB2312"/>
                      <w:sz w:val="21"/>
                      <w:color w:val="000000"/>
                    </w:rPr>
                    <w:t>,将要进行轮（组）次,并配有可插换的轮次牌1-5，组次牌M1-8，W1-8。1套/靶场。</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5套</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角度测量仪</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符合国际射联比赛射击要求。类似半圆仪，上有指针可调节。</w:t>
                  </w:r>
                  <w:r>
                    <w:rPr>
                      <w:rFonts w:ascii="仿宋_GB2312" w:hAnsi="仿宋_GB2312" w:cs="仿宋_GB2312" w:eastAsia="仿宋_GB2312"/>
                      <w:sz w:val="21"/>
                      <w:color w:val="000000"/>
                    </w:rPr>
                    <w:t>1个/靶场</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2个</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边裁旗</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40X30CM的绵质材料,红色，带旗杆。2/靶场</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30面</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电子天平</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称重至</w:t>
                  </w:r>
                  <w:r>
                    <w:rPr>
                      <w:rFonts w:ascii="仿宋_GB2312" w:hAnsi="仿宋_GB2312" w:cs="仿宋_GB2312" w:eastAsia="仿宋_GB2312"/>
                      <w:sz w:val="21"/>
                      <w:color w:val="000000"/>
                    </w:rPr>
                    <w:t>0.1克,最少可称1000克,用于称子弹和碟靶</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3个</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腰线测量器</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最新型可测量腰线用，测量精度小于</w:t>
                  </w:r>
                  <w:r>
                    <w:rPr>
                      <w:rFonts w:ascii="仿宋_GB2312" w:hAnsi="仿宋_GB2312" w:cs="仿宋_GB2312" w:eastAsia="仿宋_GB2312"/>
                      <w:sz w:val="21"/>
                      <w:color w:val="000000"/>
                    </w:rPr>
                    <w:t>1mm</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5个</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飞碟决赛碟靶</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drawing>
                      <wp:inline distT="0" distR="0" distB="0" distL="0">
                        <wp:extent cx="400050" cy="207084"/>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400050" cy="207084"/>
                                </a:xfrm>
                                <a:prstGeom prst="rect">
                                  <a:avLst/>
                                </a:prstGeom>
                              </pic:spPr>
                            </pic:pic>
                          </a:graphicData>
                        </a:graphic>
                      </wp:inline>
                    </w:drawing>
                  </w:r>
                  <w:r>
                    <w:drawing>
                      <wp:inline distT="0" distR="0" distB="0" distL="0">
                        <wp:extent cx="400050" cy="193205"/>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7"/>
                                <a:stretch>
                                  <a:fillRect/>
                                </a:stretch>
                              </pic:blipFill>
                              <pic:spPr>
                                <a:xfrm>
                                  <a:off x="0" y="0"/>
                                  <a:ext cx="400050" cy="193205"/>
                                </a:xfrm>
                                <a:prstGeom prst="rect">
                                  <a:avLst/>
                                </a:prstGeom>
                              </pic:spPr>
                            </pic:pic>
                          </a:graphicData>
                        </a:graphic>
                      </wp:inline>
                    </w:drawing>
                  </w:r>
                  <w:r>
                    <w:drawing>
                      <wp:inline distT="0" distR="0" distB="0" distL="0">
                        <wp:extent cx="400050" cy="198894"/>
                        <wp:docPr id="3" name="Drawing 3" descr="img"/>
                        <a:graphic xmlns:a="http://schemas.openxmlformats.org/drawingml/2006/main">
                          <a:graphicData uri="http://schemas.openxmlformats.org/drawingml/2006/picture">
                            <pic:pic xmlns:pic="http://schemas.openxmlformats.org/drawingml/2006/picture">
                              <pic:nvPicPr>
                                <pic:cNvPr id="0" name="Picture 3" descr="img"/>
                                <pic:cNvPicPr>
                                  <a:picLocks noChangeAspect="true"/>
                                </pic:cNvPicPr>
                              </pic:nvPicPr>
                              <pic:blipFill>
                                <a:blip r:embed="rId8"/>
                                <a:stretch>
                                  <a:fillRect/>
                                </a:stretch>
                              </pic:blipFill>
                              <pic:spPr>
                                <a:xfrm>
                                  <a:off x="0" y="0"/>
                                  <a:ext cx="400050" cy="198894"/>
                                </a:xfrm>
                                <a:prstGeom prst="rect">
                                  <a:avLst/>
                                </a:prstGeom>
                              </pic:spPr>
                            </pic:pic>
                          </a:graphicData>
                        </a:graphic>
                      </wp:inline>
                    </w:drawing>
                  </w:r>
                  <w:r>
                    <w:rPr>
                      <w:rFonts w:ascii="仿宋_GB2312" w:hAnsi="仿宋_GB2312" w:cs="仿宋_GB2312" w:eastAsia="仿宋_GB2312"/>
                      <w:sz w:val="21"/>
                      <w:color w:val="000000"/>
                    </w:rPr>
                    <w:t>环保型射击决赛闪光飞碟靶，符合国际射联竞赛规则要求，含有红色无毒粉末。</w:t>
                  </w:r>
                  <w:r>
                    <w:rPr>
                      <w:rFonts w:ascii="仿宋_GB2312" w:hAnsi="仿宋_GB2312" w:cs="仿宋_GB2312" w:eastAsia="仿宋_GB2312"/>
                      <w:sz w:val="21"/>
                      <w:color w:val="000000"/>
                    </w:rPr>
                    <w:t>“G”部分的形状设计，应提供最佳空气动力学设计，有利于碟靶的稳定飞行。碟靶的强度要求：碟靶被抛出后，应完整无损地飞行80米。并且使用标准国际射联双向和多向子弹，在规定的距离内易被击碎。含卸运费。</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10000</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4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飞碟碟靶</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环保型射击比赛飞碟靶，含卸运费。除无需含有红色无毒粉末外，其他参数同决赛碟靶。</w:t>
                  </w:r>
                </w:p>
              </w:tc>
              <w:tc>
                <w:tcPr>
                  <w:tcW w:type="dxa" w:w="3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50000</w:t>
                  </w:r>
                </w:p>
              </w:tc>
              <w:tc>
                <w:tcPr>
                  <w:tcW w:type="dxa" w:w="3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vMerge/>
                  <w:tcBorders>
                    <w:top w:val="none" w:color="000000" w:sz="4"/>
                    <w:left w:val="single" w:color="000000" w:sz="4"/>
                    <w:bottom w:val="single" w:color="000000" w:sz="4"/>
                    <w:right w:val="single" w:color="000000" w:sz="4"/>
                  </w:tcBorders>
                </w:tcPr>
                <w:p/>
              </w:tc>
              <w:tc>
                <w:tcPr>
                  <w:tcW w:type="dxa" w:w="489"/>
                  <w:vMerge/>
                  <w:tcBorders>
                    <w:top w:val="none" w:color="000000" w:sz="4"/>
                    <w:left w:val="single" w:color="000000" w:sz="4"/>
                    <w:bottom w:val="single" w:color="000000" w:sz="4"/>
                    <w:right w:val="single" w:color="000000" w:sz="4"/>
                  </w:tcBorders>
                </w:tcP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1.产品规格需完全符合国际射联规定</w:t>
                  </w:r>
                </w:p>
              </w:tc>
              <w:tc>
                <w:tcPr>
                  <w:tcW w:type="dxa" w:w="335"/>
                  <w:vMerge/>
                  <w:tcBorders>
                    <w:top w:val="none" w:color="000000" w:sz="4"/>
                    <w:left w:val="single" w:color="000000" w:sz="4"/>
                    <w:bottom w:val="single" w:color="000000" w:sz="4"/>
                    <w:right w:val="single" w:color="000000" w:sz="4"/>
                  </w:tcBorders>
                </w:tcPr>
                <w:p/>
              </w:tc>
              <w:tc>
                <w:tcPr>
                  <w:tcW w:type="dxa" w:w="317"/>
                  <w:vMerge/>
                  <w:tcBorders>
                    <w:top w:val="none" w:color="000000" w:sz="4"/>
                    <w:left w:val="single" w:color="000000" w:sz="4"/>
                    <w:bottom w:val="single" w:color="000000" w:sz="4"/>
                    <w:right w:val="single" w:color="000000" w:sz="4"/>
                  </w:tcBorders>
                </w:tc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vMerge/>
                  <w:tcBorders>
                    <w:top w:val="none" w:color="000000" w:sz="4"/>
                    <w:left w:val="single" w:color="000000" w:sz="4"/>
                    <w:bottom w:val="single" w:color="000000" w:sz="4"/>
                    <w:right w:val="single" w:color="000000" w:sz="4"/>
                  </w:tcBorders>
                </w:tcPr>
                <w:p/>
              </w:tc>
              <w:tc>
                <w:tcPr>
                  <w:tcW w:type="dxa" w:w="489"/>
                  <w:vMerge/>
                  <w:tcBorders>
                    <w:top w:val="none" w:color="000000" w:sz="4"/>
                    <w:left w:val="single" w:color="000000" w:sz="4"/>
                    <w:bottom w:val="single" w:color="000000" w:sz="4"/>
                    <w:right w:val="single" w:color="000000" w:sz="4"/>
                  </w:tcBorders>
                </w:tcP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2.单个重量：105g±5g</w:t>
                  </w:r>
                </w:p>
              </w:tc>
              <w:tc>
                <w:tcPr>
                  <w:tcW w:type="dxa" w:w="335"/>
                  <w:vMerge/>
                  <w:tcBorders>
                    <w:top w:val="none" w:color="000000" w:sz="4"/>
                    <w:left w:val="single" w:color="000000" w:sz="4"/>
                    <w:bottom w:val="single" w:color="000000" w:sz="4"/>
                    <w:right w:val="single" w:color="000000" w:sz="4"/>
                  </w:tcBorders>
                </w:tcPr>
                <w:p/>
              </w:tc>
              <w:tc>
                <w:tcPr>
                  <w:tcW w:type="dxa" w:w="317"/>
                  <w:vMerge/>
                  <w:tcBorders>
                    <w:top w:val="none" w:color="000000" w:sz="4"/>
                    <w:left w:val="single" w:color="000000" w:sz="4"/>
                    <w:bottom w:val="single" w:color="000000" w:sz="4"/>
                    <w:right w:val="single" w:color="000000" w:sz="4"/>
                  </w:tcBorders>
                </w:tc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vMerge/>
                  <w:tcBorders>
                    <w:top w:val="none" w:color="000000" w:sz="4"/>
                    <w:left w:val="single" w:color="000000" w:sz="4"/>
                    <w:bottom w:val="single" w:color="000000" w:sz="4"/>
                    <w:right w:val="single" w:color="000000" w:sz="4"/>
                  </w:tcBorders>
                </w:tcPr>
                <w:p/>
              </w:tc>
              <w:tc>
                <w:tcPr>
                  <w:tcW w:type="dxa" w:w="489"/>
                  <w:vMerge/>
                  <w:tcBorders>
                    <w:top w:val="none" w:color="000000" w:sz="4"/>
                    <w:left w:val="single" w:color="000000" w:sz="4"/>
                    <w:bottom w:val="single" w:color="000000" w:sz="4"/>
                    <w:right w:val="single" w:color="000000" w:sz="4"/>
                  </w:tcBorders>
                </w:tcP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3.单个直径：110mm±1mm</w:t>
                  </w:r>
                </w:p>
              </w:tc>
              <w:tc>
                <w:tcPr>
                  <w:tcW w:type="dxa" w:w="335"/>
                  <w:vMerge/>
                  <w:tcBorders>
                    <w:top w:val="none" w:color="000000" w:sz="4"/>
                    <w:left w:val="single" w:color="000000" w:sz="4"/>
                    <w:bottom w:val="single" w:color="000000" w:sz="4"/>
                    <w:right w:val="single" w:color="000000" w:sz="4"/>
                  </w:tcBorders>
                </w:tcPr>
                <w:p/>
              </w:tc>
              <w:tc>
                <w:tcPr>
                  <w:tcW w:type="dxa" w:w="317"/>
                  <w:vMerge/>
                  <w:tcBorders>
                    <w:top w:val="none" w:color="000000" w:sz="4"/>
                    <w:left w:val="single" w:color="000000" w:sz="4"/>
                    <w:bottom w:val="single" w:color="000000" w:sz="4"/>
                    <w:right w:val="single" w:color="000000" w:sz="4"/>
                  </w:tcBorders>
                </w:tc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vMerge/>
                  <w:tcBorders>
                    <w:top w:val="none" w:color="000000" w:sz="4"/>
                    <w:left w:val="single" w:color="000000" w:sz="4"/>
                    <w:bottom w:val="single" w:color="000000" w:sz="4"/>
                    <w:right w:val="single" w:color="000000" w:sz="4"/>
                  </w:tcBorders>
                </w:tcPr>
                <w:p/>
              </w:tc>
              <w:tc>
                <w:tcPr>
                  <w:tcW w:type="dxa" w:w="489"/>
                  <w:vMerge/>
                  <w:tcBorders>
                    <w:top w:val="none" w:color="000000" w:sz="4"/>
                    <w:left w:val="single" w:color="000000" w:sz="4"/>
                    <w:bottom w:val="single" w:color="000000" w:sz="4"/>
                    <w:right w:val="single" w:color="000000" w:sz="4"/>
                  </w:tcBorders>
                </w:tcP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4.单个高度：25-26mm</w:t>
                  </w:r>
                </w:p>
              </w:tc>
              <w:tc>
                <w:tcPr>
                  <w:tcW w:type="dxa" w:w="335"/>
                  <w:vMerge/>
                  <w:tcBorders>
                    <w:top w:val="none" w:color="000000" w:sz="4"/>
                    <w:left w:val="single" w:color="000000" w:sz="4"/>
                    <w:bottom w:val="single" w:color="000000" w:sz="4"/>
                    <w:right w:val="single" w:color="000000" w:sz="4"/>
                  </w:tcBorders>
                </w:tcPr>
                <w:p/>
              </w:tc>
              <w:tc>
                <w:tcPr>
                  <w:tcW w:type="dxa" w:w="317"/>
                  <w:vMerge/>
                  <w:tcBorders>
                    <w:top w:val="none" w:color="000000" w:sz="4"/>
                    <w:left w:val="single" w:color="000000" w:sz="4"/>
                    <w:bottom w:val="single" w:color="000000" w:sz="4"/>
                    <w:right w:val="single" w:color="000000" w:sz="4"/>
                  </w:tcBorders>
                </w:tc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vMerge/>
                  <w:tcBorders>
                    <w:top w:val="none" w:color="000000" w:sz="4"/>
                    <w:left w:val="single" w:color="000000" w:sz="4"/>
                    <w:bottom w:val="single" w:color="000000" w:sz="4"/>
                    <w:right w:val="single" w:color="000000" w:sz="4"/>
                  </w:tcBorders>
                </w:tcPr>
                <w:p/>
              </w:tc>
              <w:tc>
                <w:tcPr>
                  <w:tcW w:type="dxa" w:w="489"/>
                  <w:vMerge/>
                  <w:tcBorders>
                    <w:top w:val="none" w:color="000000" w:sz="4"/>
                    <w:left w:val="single" w:color="000000" w:sz="4"/>
                    <w:bottom w:val="single" w:color="000000" w:sz="4"/>
                    <w:right w:val="single" w:color="000000" w:sz="4"/>
                  </w:tcBorders>
                </w:tcP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5.单个底高度：11mm±1mm</w:t>
                  </w:r>
                </w:p>
              </w:tc>
              <w:tc>
                <w:tcPr>
                  <w:tcW w:type="dxa" w:w="335"/>
                  <w:vMerge/>
                  <w:tcBorders>
                    <w:top w:val="none" w:color="000000" w:sz="4"/>
                    <w:left w:val="single" w:color="000000" w:sz="4"/>
                    <w:bottom w:val="single" w:color="000000" w:sz="4"/>
                    <w:right w:val="single" w:color="000000" w:sz="4"/>
                  </w:tcBorders>
                </w:tcPr>
                <w:p/>
              </w:tc>
              <w:tc>
                <w:tcPr>
                  <w:tcW w:type="dxa" w:w="317"/>
                  <w:vMerge/>
                  <w:tcBorders>
                    <w:top w:val="none" w:color="000000" w:sz="4"/>
                    <w:left w:val="single" w:color="000000" w:sz="4"/>
                    <w:bottom w:val="single" w:color="000000" w:sz="4"/>
                    <w:right w:val="single" w:color="000000" w:sz="4"/>
                  </w:tcBorders>
                </w:tc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vMerge/>
                  <w:tcBorders>
                    <w:top w:val="none" w:color="000000" w:sz="4"/>
                    <w:left w:val="single" w:color="000000" w:sz="4"/>
                    <w:bottom w:val="single" w:color="000000" w:sz="4"/>
                    <w:right w:val="single" w:color="000000" w:sz="4"/>
                  </w:tcBorders>
                </w:tcPr>
                <w:p/>
              </w:tc>
              <w:tc>
                <w:tcPr>
                  <w:tcW w:type="dxa" w:w="489"/>
                  <w:vMerge/>
                  <w:tcBorders>
                    <w:top w:val="none" w:color="000000" w:sz="4"/>
                    <w:left w:val="single" w:color="000000" w:sz="4"/>
                    <w:bottom w:val="single" w:color="000000" w:sz="4"/>
                    <w:right w:val="single" w:color="000000" w:sz="4"/>
                  </w:tcBorders>
                </w:tcP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6.材料为可降解环保材料</w:t>
                  </w:r>
                </w:p>
              </w:tc>
              <w:tc>
                <w:tcPr>
                  <w:tcW w:type="dxa" w:w="335"/>
                  <w:vMerge/>
                  <w:tcBorders>
                    <w:top w:val="none" w:color="000000" w:sz="4"/>
                    <w:left w:val="single" w:color="000000" w:sz="4"/>
                    <w:bottom w:val="single" w:color="000000" w:sz="4"/>
                    <w:right w:val="single" w:color="000000" w:sz="4"/>
                  </w:tcBorders>
                </w:tcPr>
                <w:p/>
              </w:tc>
              <w:tc>
                <w:tcPr>
                  <w:tcW w:type="dxa" w:w="317"/>
                  <w:vMerge/>
                  <w:tcBorders>
                    <w:top w:val="none" w:color="000000" w:sz="4"/>
                    <w:left w:val="single" w:color="000000" w:sz="4"/>
                    <w:bottom w:val="single" w:color="000000" w:sz="4"/>
                    <w:right w:val="single" w:color="000000" w:sz="4"/>
                  </w:tcBorders>
                </w:tc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vMerge/>
                  <w:tcBorders>
                    <w:top w:val="none" w:color="000000" w:sz="4"/>
                    <w:left w:val="single" w:color="000000" w:sz="4"/>
                    <w:bottom w:val="single" w:color="000000" w:sz="4"/>
                    <w:right w:val="single" w:color="000000" w:sz="4"/>
                  </w:tcBorders>
                </w:tcPr>
                <w:p/>
              </w:tc>
              <w:tc>
                <w:tcPr>
                  <w:tcW w:type="dxa" w:w="489"/>
                  <w:vMerge/>
                  <w:tcBorders>
                    <w:top w:val="none" w:color="000000" w:sz="4"/>
                    <w:left w:val="single" w:color="000000" w:sz="4"/>
                    <w:bottom w:val="single" w:color="000000" w:sz="4"/>
                    <w:right w:val="single" w:color="000000" w:sz="4"/>
                  </w:tcBorders>
                </w:tcP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7.颜色银光橙</w:t>
                  </w:r>
                </w:p>
              </w:tc>
              <w:tc>
                <w:tcPr>
                  <w:tcW w:type="dxa" w:w="335"/>
                  <w:vMerge/>
                  <w:tcBorders>
                    <w:top w:val="none" w:color="000000" w:sz="4"/>
                    <w:left w:val="single" w:color="000000" w:sz="4"/>
                    <w:bottom w:val="single" w:color="000000" w:sz="4"/>
                    <w:right w:val="single" w:color="000000" w:sz="4"/>
                  </w:tcBorders>
                </w:tcPr>
                <w:p/>
              </w:tc>
              <w:tc>
                <w:tcPr>
                  <w:tcW w:type="dxa" w:w="317"/>
                  <w:vMerge/>
                  <w:tcBorders>
                    <w:top w:val="none" w:color="000000" w:sz="4"/>
                    <w:left w:val="single" w:color="000000" w:sz="4"/>
                    <w:bottom w:val="single" w:color="000000" w:sz="4"/>
                    <w:right w:val="single" w:color="000000" w:sz="4"/>
                  </w:tcBorders>
                </w:tc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vMerge/>
                  <w:tcBorders>
                    <w:top w:val="none" w:color="000000" w:sz="4"/>
                    <w:left w:val="single" w:color="000000" w:sz="4"/>
                    <w:bottom w:val="single" w:color="000000" w:sz="4"/>
                    <w:right w:val="single" w:color="000000" w:sz="4"/>
                  </w:tcBorders>
                </w:tcPr>
                <w:p/>
              </w:tc>
              <w:tc>
                <w:tcPr>
                  <w:tcW w:type="dxa" w:w="489"/>
                  <w:vMerge/>
                  <w:tcBorders>
                    <w:top w:val="none" w:color="000000" w:sz="4"/>
                    <w:left w:val="single" w:color="000000" w:sz="4"/>
                    <w:bottom w:val="single" w:color="000000" w:sz="4"/>
                    <w:right w:val="single" w:color="000000" w:sz="4"/>
                  </w:tcBorders>
                </w:tcP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8.比赛级</w:t>
                  </w:r>
                </w:p>
              </w:tc>
              <w:tc>
                <w:tcPr>
                  <w:tcW w:type="dxa" w:w="335"/>
                  <w:vMerge/>
                  <w:tcBorders>
                    <w:top w:val="none" w:color="000000" w:sz="4"/>
                    <w:left w:val="single" w:color="000000" w:sz="4"/>
                    <w:bottom w:val="single" w:color="000000" w:sz="4"/>
                    <w:right w:val="single" w:color="000000" w:sz="4"/>
                  </w:tcBorders>
                </w:tcPr>
                <w:p/>
              </w:tc>
              <w:tc>
                <w:tcPr>
                  <w:tcW w:type="dxa" w:w="317"/>
                  <w:vMerge/>
                  <w:tcBorders>
                    <w:top w:val="none" w:color="000000" w:sz="4"/>
                    <w:left w:val="single" w:color="000000" w:sz="4"/>
                    <w:bottom w:val="single" w:color="000000" w:sz="4"/>
                    <w:right w:val="single" w:color="000000" w:sz="4"/>
                  </w:tcBorders>
                </w:tcPr>
                <w:p/>
              </w:tc>
            </w:tr>
            <w:tr>
              <w:tc>
                <w:tcPr>
                  <w:tcW w:type="dxa" w:w="1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田径含竞走</w:t>
                  </w: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专用物品</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规格</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备注</w:t>
                  </w: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检查器材卡尺</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精度毫米，长度不少于</w:t>
                  </w:r>
                  <w:r>
                    <w:rPr>
                      <w:rFonts w:ascii="仿宋_GB2312" w:hAnsi="仿宋_GB2312" w:cs="仿宋_GB2312" w:eastAsia="仿宋_GB2312"/>
                      <w:sz w:val="21"/>
                    </w:rPr>
                    <w:t>20cm，电子数字显示</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2把</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电子计时</w:t>
                  </w:r>
                  <w:r>
                    <w:rPr>
                      <w:rFonts w:ascii="仿宋_GB2312" w:hAnsi="仿宋_GB2312" w:cs="仿宋_GB2312" w:eastAsia="仿宋_GB2312"/>
                      <w:sz w:val="21"/>
                    </w:rPr>
                    <w:t>（</w:t>
                  </w:r>
                  <w:r>
                    <w:rPr>
                      <w:rFonts w:ascii="仿宋_GB2312" w:hAnsi="仿宋_GB2312" w:cs="仿宋_GB2312" w:eastAsia="仿宋_GB2312"/>
                      <w:sz w:val="21"/>
                    </w:rPr>
                    <w:t>核心产品）</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图像采集速度：支持</w:t>
                  </w:r>
                  <w:r>
                    <w:rPr>
                      <w:rFonts w:ascii="仿宋_GB2312" w:hAnsi="仿宋_GB2312" w:cs="仿宋_GB2312" w:eastAsia="仿宋_GB2312"/>
                      <w:sz w:val="21"/>
                    </w:rPr>
                    <w:t>1000帧、2000帧、4000帧、5000帧、10000帧可选；判读时间单位：0.0001秒，系统误差：﹤0.001秒；无线发令传输距离：开阔地不小于500米；摄像机内置电池：续航时间，满电10小时；一体式设计，方便架设</w:t>
                  </w:r>
                </w:p>
                <w:p>
                  <w:pPr>
                    <w:pStyle w:val="null3"/>
                    <w:jc w:val="left"/>
                  </w:pPr>
                  <w:r>
                    <w:rPr>
                      <w:rFonts w:ascii="仿宋_GB2312" w:hAnsi="仿宋_GB2312" w:cs="仿宋_GB2312" w:eastAsia="仿宋_GB2312"/>
                      <w:sz w:val="21"/>
                    </w:rPr>
                    <w:t>支持</w:t>
                  </w:r>
                  <w:r>
                    <w:rPr>
                      <w:rFonts w:ascii="仿宋_GB2312" w:hAnsi="仿宋_GB2312" w:cs="仿宋_GB2312" w:eastAsia="仿宋_GB2312"/>
                      <w:sz w:val="21"/>
                    </w:rPr>
                    <w:t>1000、2000、4000、5000、10000帧高精度计时；实时监控发令信号，支持多次接收发令时间；支持镜头光圈电动调节；支持GPS时间同步；支持三种不同的拍摄范围：宽景、标准、窄景；宽景--适用于设备架设在场地边沿（如：学校田径场）；标准--适用于设备架设在距离跑道较远处（如：体育中心）；窄景--适用于设备架设在距离跑道更远处（如：奥体中心）；具备零时刻标定功能；图像自动裁剪，可去掉拍摄空白区，提高判读速度及准确性；具备图像后处理功能，能够对已拍摄的图像进行局部放大；具备拍摄过程实时动态图像显示功能；具备实时判读功能，可以拍摄和判读同时进行；具备停表拍摄功能，在停止计时后软件自动计时，可再次拍摄；可打印比赛成绩和终点摄影图像，方便查询及重判。</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2套</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含终点摄像，技术员</w:t>
                  </w: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风速仪</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获得中国田径协会审定证书；获得国际田联地区发展中心认可证书；获得国家体育用品质量监督检验中心检验检测报告；获得计算机软件著作权登记证书；检测精度：</w:t>
                  </w:r>
                  <w:r>
                    <w:rPr>
                      <w:rFonts w:ascii="仿宋_GB2312" w:hAnsi="仿宋_GB2312" w:cs="仿宋_GB2312" w:eastAsia="仿宋_GB2312"/>
                      <w:sz w:val="21"/>
                    </w:rPr>
                    <w:t>0.01米/秒，显示位数：0.1，检测误差：≤2%；显示面积：不小于77×26cm×3面；超声方法测量风速，满足国际田联测量最新竞赛规则；启动模式分为：自动启动，手动启动；测量模式分为：固定延时测量、手工控制测量；测量结果由三面显示牌显示，便于各个方向的观众、裁判等人员观看；风速联网传送，联网遥控操作，实现无人值守。</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3个</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激光测距系统</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获得中国田径协会审定证书；获得国际田联地区发展中心认可证书；获得国家体育用品质量监督检验中心检验检测报告；获得计算机软件著作权登记证书；测量精度：</w:t>
                  </w:r>
                  <w:r>
                    <w:rPr>
                      <w:rFonts w:ascii="仿宋_GB2312" w:hAnsi="仿宋_GB2312" w:cs="仿宋_GB2312" w:eastAsia="仿宋_GB2312"/>
                      <w:sz w:val="21"/>
                    </w:rPr>
                    <w:t>1毫米，测量误差：100米之内误差不大于2毫米；三种测量模式：投掷、跳远、跳高，覆盖全部田赛项目。主电池续航不小于8小时；测量结果可以自动送往田赛显示牌和场地大屏幕（如有），便于运动员及全场观众观看。设备架设位置固定，使用过程中无需变化，安装快捷；集成化的田赛网络终端控制软件，既是测距仪，又是田赛网络终端；比赛成绩由软件根据测量参数自动给出，并自动进入田赛网络终端；软件内可以手动编排比赛项目、日程、组别、运动员信息、可以打印手填成绩单，以及各单项综合成绩等；与“田径运动会信息系统”直接连网，方便进行比赛成绩的确认与发布。</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5套</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田赛成绩显示屏</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获得中国田径协会审定证书；获得国际田联地区发展中心认可证书；获得国家体育用品质量监督检验中心检验检测报告；显示面积：不小于</w:t>
                  </w:r>
                  <w:r>
                    <w:rPr>
                      <w:rFonts w:ascii="仿宋_GB2312" w:hAnsi="仿宋_GB2312" w:cs="仿宋_GB2312" w:eastAsia="仿宋_GB2312"/>
                      <w:sz w:val="21"/>
                    </w:rPr>
                    <w:t>1.60米×0.96米×2（双面）；分辨率:不小于240×144，全彩LED点阵显示，户外型；由田赛网络终端直接控制，无需手工录入；双面显示，自动旋转，测量结果直接上屏，可通过电脑自由编辑显示内容；可通过电脑控制显示亮度，以适应不同环境光照情况。</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5块</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时限显示器</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获得国家体育用品质量监督检验中心检验检测报告；三面显示</w:t>
                  </w:r>
                  <w:r>
                    <w:rPr>
                      <w:rFonts w:ascii="仿宋_GB2312" w:hAnsi="仿宋_GB2312" w:cs="仿宋_GB2312" w:eastAsia="仿宋_GB2312"/>
                      <w:sz w:val="21"/>
                    </w:rPr>
                    <w:t>LED倒计时，手动设定起始时间；一键启动计时，设定时间自动保存；0-99S任意时间倒计时；显示面积：不小于（77.1×25.7）cm×3面。</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5套</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检录系统设备</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显示屏：不小于</w:t>
                  </w:r>
                  <w:r>
                    <w:rPr>
                      <w:rFonts w:ascii="仿宋_GB2312" w:hAnsi="仿宋_GB2312" w:cs="仿宋_GB2312" w:eastAsia="仿宋_GB2312"/>
                      <w:sz w:val="21"/>
                    </w:rPr>
                    <w:t>7寸IPS屏；操作系统：Android；内置身份证读取模块，公安部二代身份证安全加密；支持采集和识别二代身份证，进行身份识别，支持人脸识别；支持TCSI生物指纹/FBI指纹认证，内置电容电感式传感器</w:t>
                  </w:r>
                </w:p>
                <w:p>
                  <w:pPr>
                    <w:pStyle w:val="null3"/>
                    <w:jc w:val="left"/>
                  </w:pPr>
                  <w:r>
                    <w:rPr>
                      <w:rFonts w:ascii="仿宋_GB2312" w:hAnsi="仿宋_GB2312" w:cs="仿宋_GB2312" w:eastAsia="仿宋_GB2312"/>
                      <w:sz w:val="21"/>
                    </w:rPr>
                    <w:t>内置不小于</w:t>
                  </w:r>
                  <w:r>
                    <w:rPr>
                      <w:rFonts w:ascii="仿宋_GB2312" w:hAnsi="仿宋_GB2312" w:cs="仿宋_GB2312" w:eastAsia="仿宋_GB2312"/>
                      <w:sz w:val="21"/>
                    </w:rPr>
                    <w:t>10000mAh的锂聚合物电池；使用安卓系统，操作简单；支持读取二代身份证头像信息进行人脸识别</w:t>
                  </w:r>
                </w:p>
                <w:p>
                  <w:pPr>
                    <w:pStyle w:val="null3"/>
                    <w:jc w:val="left"/>
                  </w:pPr>
                  <w:r>
                    <w:rPr>
                      <w:rFonts w:ascii="仿宋_GB2312" w:hAnsi="仿宋_GB2312" w:cs="仿宋_GB2312" w:eastAsia="仿宋_GB2312"/>
                      <w:sz w:val="21"/>
                    </w:rPr>
                    <w:t>支持读取二代身份证指纹信息进行指纹比对；支持图像导入进行人脸识别；集成</w:t>
                  </w:r>
                  <w:r>
                    <w:rPr>
                      <w:rFonts w:ascii="仿宋_GB2312" w:hAnsi="仿宋_GB2312" w:cs="仿宋_GB2312" w:eastAsia="仿宋_GB2312"/>
                      <w:sz w:val="21"/>
                    </w:rPr>
                    <w:t>4G全网通，WiFi、蓝牙等多种无线通讯方式；支持与“田径运动会信息系统”联网数据对接；电脑、身份证、人脸识别、读卡器。</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发令系统</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获得中国田径协会审定证书；获得国际田联地区发展中心认可证书；获得国家体育用品质量监督检验中心检验检测报告；发令主机与同厂家电计时无缝对接，支持有线、无线触发，无线距离</w:t>
                  </w:r>
                  <w:r>
                    <w:rPr>
                      <w:rFonts w:ascii="仿宋_GB2312" w:hAnsi="仿宋_GB2312" w:cs="仿宋_GB2312" w:eastAsia="仿宋_GB2312"/>
                      <w:sz w:val="21"/>
                    </w:rPr>
                    <w:t>250米内置两个传感器，保障无线发令的稳定触发；发令主机自带内置电源，充电一次可持续使用8--10小时；主机带有液晶显示屏，可显示当前发令状况及电池电量状态；专用发令枪，带超高亮度氙气发光管，瞬间亮度可视距离大于200米；避免传统火药枪哑火现象，环保可重复使用；配备的无线发令音箱可以根据需要扩展，可覆盖直道和弯道全部参赛运动员；音响内置电源,充电一次可持续使用8--10小时。两个无线音箱且发令主机与音箱之间采用无线连接，避免赛场钉鞋踩踏、便于转场运输。</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含抢跑监听</w:t>
                  </w: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电子起跑器</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获得中国田径协会审定证书；获得国际田联地区发展中心认可证书；获得国家体育用品质量监督检验中心检验检测报告；获得计算机软件著作权登记证书；抢跑响应时间：</w:t>
                  </w:r>
                  <w:r>
                    <w:rPr>
                      <w:rFonts w:ascii="仿宋_GB2312" w:hAnsi="仿宋_GB2312" w:cs="仿宋_GB2312" w:eastAsia="仿宋_GB2312"/>
                      <w:sz w:val="21"/>
                    </w:rPr>
                    <w:t>≤0.1ms，起跑压力精度：≤0.5kg，测量精度：1ms；无线话筒的传输距离：＞300 M，无线耳机的传输距离：＞200 M；起跑器材质：铝合金，配10个起跑器；前后内置双压力传感器；尺寸：不小于102cm×33.5cm×13cm，重量：不大于13kg；所有起跑器与控制柜之间无线连接，有效防止运动员踩踏连接线导致故障；无线发令同步；精确测量各道运动员起跑时刻；能够测量运动员起跑脚蹬压力曲线，用于教练对运动员的起跑数据技术分析；采用大尺寸起跑器踏板，让运动员起跑更舒适</w:t>
                  </w:r>
                </w:p>
                <w:p>
                  <w:pPr>
                    <w:pStyle w:val="null3"/>
                    <w:jc w:val="left"/>
                  </w:pPr>
                  <w:r>
                    <w:rPr>
                      <w:rFonts w:ascii="仿宋_GB2312" w:hAnsi="仿宋_GB2312" w:cs="仿宋_GB2312" w:eastAsia="仿宋_GB2312"/>
                      <w:sz w:val="21"/>
                    </w:rPr>
                    <w:t>自动抢跑判决；使用无线召回报警；控制机柜内置热敏打印机，可现场打印起跑数据；控制机柜内置工控电脑，操作简便；控制机柜内置电源，可供电</w:t>
                  </w:r>
                  <w:r>
                    <w:rPr>
                      <w:rFonts w:ascii="仿宋_GB2312" w:hAnsi="仿宋_GB2312" w:cs="仿宋_GB2312" w:eastAsia="仿宋_GB2312"/>
                      <w:sz w:val="21"/>
                    </w:rPr>
                    <w:t>10小时；起跑反应时可实时发送至电计时或“田径运动会信息系统”。1-9付</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2套</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发令弹</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100发/盒</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6盒</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秒表</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100道</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16个</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跳高横杆</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产品名称；跳高横杆。</w:t>
                  </w:r>
                  <w:r>
                    <w:rPr>
                      <w:rFonts w:ascii="仿宋_GB2312" w:hAnsi="仿宋_GB2312" w:cs="仿宋_GB2312" w:eastAsia="仿宋_GB2312"/>
                      <w:sz w:val="21"/>
                    </w:rPr>
                    <w:t>2.</w:t>
                  </w:r>
                  <w:r>
                    <w:rPr>
                      <w:rFonts w:ascii="仿宋_GB2312" w:hAnsi="仿宋_GB2312" w:cs="仿宋_GB2312" w:eastAsia="仿宋_GB2312"/>
                      <w:sz w:val="21"/>
                    </w:rPr>
                    <w:t>产品材质：横杆采用玻璃钢材质制成，横杆接头采用特殊的外形结构制作而成。</w:t>
                  </w:r>
                  <w:r>
                    <w:rPr>
                      <w:rFonts w:ascii="仿宋_GB2312" w:hAnsi="仿宋_GB2312" w:cs="仿宋_GB2312" w:eastAsia="仿宋_GB2312"/>
                      <w:sz w:val="21"/>
                    </w:rPr>
                    <w:t>3.产品规格：产品有横杆和横杆接头组成，跳高横杆总长为4m±2cm，圆形部分直径为30mm±1mm，横杆两端宽30-35mm，长15-20cm，毛重约1.5kg。4.用途及性能：横杆由三部分组成即圆杆和两端，横杆两端横截面应呈圆形或半圆形，质地坚硬，表面平滑。5.产品颜色：横杆颜色红、黄相间。6.经过中国田径协会（CAA）审定和国际田联(IAAF)认证，产品须符合竞赛要求。</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10根</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橡皮泥刮刀</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产品名称：橡皮泥刮刀。</w:t>
                  </w:r>
                  <w:r>
                    <w:rPr>
                      <w:rFonts w:ascii="仿宋_GB2312" w:hAnsi="仿宋_GB2312" w:cs="仿宋_GB2312" w:eastAsia="仿宋_GB2312"/>
                      <w:sz w:val="21"/>
                    </w:rPr>
                    <w:t>2.</w:t>
                  </w:r>
                  <w:r>
                    <w:rPr>
                      <w:rFonts w:ascii="仿宋_GB2312" w:hAnsi="仿宋_GB2312" w:cs="仿宋_GB2312" w:eastAsia="仿宋_GB2312"/>
                      <w:sz w:val="21"/>
                    </w:rPr>
                    <w:t>产品材质：木质手柄，手柄光滑无刺，钢铁。</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2把</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4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铅球</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7.26kg、105、110、120/125mm(各2个）</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6个</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vMerge/>
                  <w:tcBorders>
                    <w:top w:val="none" w:color="000000" w:sz="4"/>
                    <w:left w:val="single" w:color="000000" w:sz="4"/>
                    <w:bottom w:val="single" w:color="000000" w:sz="4"/>
                    <w:right w:val="single" w:color="000000" w:sz="4"/>
                  </w:tcBorders>
                </w:tcPr>
                <w:p/>
              </w:tc>
              <w:tc>
                <w:tcPr>
                  <w:tcW w:type="dxa" w:w="489"/>
                  <w:vMerge/>
                  <w:tcBorders>
                    <w:top w:val="none" w:color="000000" w:sz="4"/>
                    <w:left w:val="single" w:color="000000" w:sz="4"/>
                    <w:bottom w:val="single" w:color="000000" w:sz="4"/>
                    <w:right w:val="single" w:color="000000" w:sz="4"/>
                  </w:tcBorders>
                </w:tcP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6kg、 110/125mm</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2个</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vMerge/>
                  <w:tcBorders>
                    <w:top w:val="none" w:color="000000" w:sz="4"/>
                    <w:left w:val="single" w:color="000000" w:sz="4"/>
                    <w:bottom w:val="single" w:color="000000" w:sz="4"/>
                    <w:right w:val="single" w:color="000000" w:sz="4"/>
                  </w:tcBorders>
                </w:tcPr>
                <w:p/>
              </w:tc>
              <w:tc>
                <w:tcPr>
                  <w:tcW w:type="dxa" w:w="489"/>
                  <w:vMerge/>
                  <w:tcBorders>
                    <w:top w:val="none" w:color="000000" w:sz="4"/>
                    <w:left w:val="single" w:color="000000" w:sz="4"/>
                    <w:bottom w:val="single" w:color="000000" w:sz="4"/>
                    <w:right w:val="single" w:color="000000" w:sz="4"/>
                  </w:tcBorders>
                </w:tcP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5kg、 105/115mm</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2个</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中国田径协会认可</w:t>
                  </w: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vMerge/>
                  <w:tcBorders>
                    <w:top w:val="none" w:color="000000" w:sz="4"/>
                    <w:left w:val="single" w:color="000000" w:sz="4"/>
                    <w:bottom w:val="single" w:color="000000" w:sz="4"/>
                    <w:right w:val="single" w:color="000000" w:sz="4"/>
                  </w:tcBorders>
                </w:tcPr>
                <w:p/>
              </w:tc>
              <w:tc>
                <w:tcPr>
                  <w:tcW w:type="dxa" w:w="489"/>
                  <w:vMerge/>
                  <w:tcBorders>
                    <w:top w:val="none" w:color="000000" w:sz="4"/>
                    <w:left w:val="single" w:color="000000" w:sz="4"/>
                    <w:bottom w:val="single" w:color="000000" w:sz="4"/>
                    <w:right w:val="single" w:color="000000" w:sz="4"/>
                  </w:tcBorders>
                </w:tcP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4kg、 100mm</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2个</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vMerge/>
                  <w:tcBorders>
                    <w:top w:val="none" w:color="000000" w:sz="4"/>
                    <w:left w:val="single" w:color="000000" w:sz="4"/>
                    <w:bottom w:val="single" w:color="000000" w:sz="4"/>
                    <w:right w:val="single" w:color="000000" w:sz="4"/>
                  </w:tcBorders>
                </w:tcPr>
                <w:p/>
              </w:tc>
              <w:tc>
                <w:tcPr>
                  <w:tcW w:type="dxa" w:w="489"/>
                  <w:vMerge/>
                  <w:tcBorders>
                    <w:top w:val="none" w:color="000000" w:sz="4"/>
                    <w:left w:val="single" w:color="000000" w:sz="4"/>
                    <w:bottom w:val="single" w:color="000000" w:sz="4"/>
                    <w:right w:val="single" w:color="000000" w:sz="4"/>
                  </w:tcBorders>
                </w:tcP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3kg、 85/110mm</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2个</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4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链球</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7.26kg</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6个</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vMerge/>
                  <w:tcBorders>
                    <w:top w:val="none" w:color="000000" w:sz="4"/>
                    <w:left w:val="single" w:color="000000" w:sz="4"/>
                    <w:bottom w:val="single" w:color="000000" w:sz="4"/>
                    <w:right w:val="single" w:color="000000" w:sz="4"/>
                  </w:tcBorders>
                </w:tcPr>
                <w:p/>
              </w:tc>
              <w:tc>
                <w:tcPr>
                  <w:tcW w:type="dxa" w:w="489"/>
                  <w:vMerge/>
                  <w:tcBorders>
                    <w:top w:val="none" w:color="000000" w:sz="4"/>
                    <w:left w:val="single" w:color="000000" w:sz="4"/>
                    <w:bottom w:val="single" w:color="000000" w:sz="4"/>
                    <w:right w:val="single" w:color="000000" w:sz="4"/>
                  </w:tcBorders>
                </w:tcP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6kg、 115/125mm</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2个</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vMerge/>
                  <w:tcBorders>
                    <w:top w:val="none" w:color="000000" w:sz="4"/>
                    <w:left w:val="single" w:color="000000" w:sz="4"/>
                    <w:bottom w:val="single" w:color="000000" w:sz="4"/>
                    <w:right w:val="single" w:color="000000" w:sz="4"/>
                  </w:tcBorders>
                </w:tcPr>
                <w:p/>
              </w:tc>
              <w:tc>
                <w:tcPr>
                  <w:tcW w:type="dxa" w:w="489"/>
                  <w:vMerge/>
                  <w:tcBorders>
                    <w:top w:val="none" w:color="000000" w:sz="4"/>
                    <w:left w:val="single" w:color="000000" w:sz="4"/>
                    <w:bottom w:val="single" w:color="000000" w:sz="4"/>
                    <w:right w:val="single" w:color="000000" w:sz="4"/>
                  </w:tcBorders>
                </w:tcP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5kg、 105/120mm</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2个</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中国田径协会认可</w:t>
                  </w: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vMerge/>
                  <w:tcBorders>
                    <w:top w:val="none" w:color="000000" w:sz="4"/>
                    <w:left w:val="single" w:color="000000" w:sz="4"/>
                    <w:bottom w:val="single" w:color="000000" w:sz="4"/>
                    <w:right w:val="single" w:color="000000" w:sz="4"/>
                  </w:tcBorders>
                </w:tcPr>
                <w:p/>
              </w:tc>
              <w:tc>
                <w:tcPr>
                  <w:tcW w:type="dxa" w:w="489"/>
                  <w:vMerge/>
                  <w:tcBorders>
                    <w:top w:val="none" w:color="000000" w:sz="4"/>
                    <w:left w:val="single" w:color="000000" w:sz="4"/>
                    <w:bottom w:val="single" w:color="000000" w:sz="4"/>
                    <w:right w:val="single" w:color="000000" w:sz="4"/>
                  </w:tcBorders>
                </w:tcP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4kg、 105mm</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2个</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vMerge/>
                  <w:tcBorders>
                    <w:top w:val="none" w:color="000000" w:sz="4"/>
                    <w:left w:val="single" w:color="000000" w:sz="4"/>
                    <w:bottom w:val="single" w:color="000000" w:sz="4"/>
                    <w:right w:val="single" w:color="000000" w:sz="4"/>
                  </w:tcBorders>
                </w:tcPr>
                <w:p/>
              </w:tc>
              <w:tc>
                <w:tcPr>
                  <w:tcW w:type="dxa" w:w="489"/>
                  <w:vMerge/>
                  <w:tcBorders>
                    <w:top w:val="none" w:color="000000" w:sz="4"/>
                    <w:left w:val="single" w:color="000000" w:sz="4"/>
                    <w:bottom w:val="single" w:color="000000" w:sz="4"/>
                    <w:right w:val="single" w:color="000000" w:sz="4"/>
                  </w:tcBorders>
                </w:tcP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3kg、 85/100mm</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2个</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vMerge/>
                  <w:tcBorders>
                    <w:top w:val="none" w:color="000000" w:sz="4"/>
                    <w:left w:val="single" w:color="000000" w:sz="4"/>
                    <w:bottom w:val="single" w:color="000000" w:sz="4"/>
                    <w:right w:val="single" w:color="000000" w:sz="4"/>
                  </w:tcBorders>
                </w:tcPr>
                <w:p/>
              </w:tc>
              <w:tc>
                <w:tcPr>
                  <w:tcW w:type="dxa" w:w="489"/>
                  <w:vMerge/>
                  <w:tcBorders>
                    <w:top w:val="none" w:color="000000" w:sz="4"/>
                    <w:left w:val="single" w:color="000000" w:sz="4"/>
                    <w:bottom w:val="single" w:color="000000" w:sz="4"/>
                    <w:right w:val="single" w:color="000000" w:sz="4"/>
                  </w:tcBorders>
                </w:tcP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2kg</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2个</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4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铁饼</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2kg</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8个</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vMerge/>
                  <w:tcBorders>
                    <w:top w:val="none" w:color="000000" w:sz="4"/>
                    <w:left w:val="single" w:color="000000" w:sz="4"/>
                    <w:bottom w:val="single" w:color="000000" w:sz="4"/>
                    <w:right w:val="single" w:color="000000" w:sz="4"/>
                  </w:tcBorders>
                </w:tcPr>
                <w:p/>
              </w:tc>
              <w:tc>
                <w:tcPr>
                  <w:tcW w:type="dxa" w:w="489"/>
                  <w:vMerge/>
                  <w:tcBorders>
                    <w:top w:val="none" w:color="000000" w:sz="4"/>
                    <w:left w:val="single" w:color="000000" w:sz="4"/>
                    <w:bottom w:val="single" w:color="000000" w:sz="4"/>
                    <w:right w:val="single" w:color="000000" w:sz="4"/>
                  </w:tcBorders>
                </w:tcP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1.75kg、210/212mm</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2个</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vMerge/>
                  <w:tcBorders>
                    <w:top w:val="none" w:color="000000" w:sz="4"/>
                    <w:left w:val="single" w:color="000000" w:sz="4"/>
                    <w:bottom w:val="single" w:color="000000" w:sz="4"/>
                    <w:right w:val="single" w:color="000000" w:sz="4"/>
                  </w:tcBorders>
                </w:tcPr>
                <w:p/>
              </w:tc>
              <w:tc>
                <w:tcPr>
                  <w:tcW w:type="dxa" w:w="489"/>
                  <w:vMerge/>
                  <w:tcBorders>
                    <w:top w:val="none" w:color="000000" w:sz="4"/>
                    <w:left w:val="single" w:color="000000" w:sz="4"/>
                    <w:bottom w:val="single" w:color="000000" w:sz="4"/>
                    <w:right w:val="single" w:color="000000" w:sz="4"/>
                  </w:tcBorders>
                </w:tcP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1.5kg、 200/202mm</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1个</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中国田径协会认可</w:t>
                  </w: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撑杆跳高海绵垫子</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产品名称：撑杆跳高海绵包。</w:t>
                  </w:r>
                  <w:r>
                    <w:rPr>
                      <w:rFonts w:ascii="仿宋_GB2312" w:hAnsi="仿宋_GB2312" w:cs="仿宋_GB2312" w:eastAsia="仿宋_GB2312"/>
                      <w:sz w:val="21"/>
                    </w:rPr>
                    <w:t>2.基本尺寸：长*宽*厚=6*8*0.8m。3.产品构成：海绵包主要由海绵垫主体，覆盖层组成。海绵包主体由三层重磅发泡海绵组成，弹力均衡，柔软适中，海绵包中层结构以‘凹’字型框架组合，用以满足落地时人体对弹性及缓冲作用的要求。海绵垫覆盖层厚100mm，用搭扣将其与拼装好的垫子连接，所有拉链不得外露，以免伤人。4.经过国际田联（IAAF）认证，产品须符合竞赛要求。中国田径协会认可</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2套</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撑杆跳高架子</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产品名称：撑杆跳高架。2.产品结构：撑高跳高架主要由底座，立柱和横杆托架三大部分组成。跳高架立柱由100*100mm铝合金制成，壁厚5mm，立柱高6.5m，底座基本尺寸：长*宽*高=200*65*17cm，底座与立柱部分通过螺丝固定，结构简洁，安装方便，底座由固定底座和滑动底座组成，固定底座采用槽钢和铁板拼焊而成，滑动底座采用角铁拼焊制作，上设滚轮机构，以达到0-800mm调节。3.产品材质：撑高跳高架立柱采用专用铝合金材型，内设链轮机构，通过手柄调节高度，高度调节范围：2300-6500mm。4.所有钢制件均经除锈，磷化后在自动喷涂线上采用纯聚酯粉末喷涂完成最后表面处理，涂层厚度70-80um，铅笔硬度大3H+，涂膜无变化，划格处单面腐蚀&lt;2mm，产品具有耐酸碱、耐湿热、抗老化等特点，能适合潮湿和酸雨环境，适用于室外使用，且产品涂料配方不含有毒元素，避免损害使用者健康。5.经过中国国际田联(IAAF)认证，产品须符合竞赛要求。中国田径协会认可。</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2副</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撑杆跳高横杆</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产品名称：撑杆跳高横杆。2.产品构成：跳高横杆由横杆和两端组成。3.产品材质：横杆采用玻璃钢材质制成，横杆两端采用特殊的外形结构。4.产品规格：跳高横杆总长为4500mm，横杆圆形部分Φ30mm±1mm，横杆两端应宽30-35mm，长15-20cm，最大重量为2.25kg。5.产品颜色：横杆颜色红黄相间。6.通过国际田联（IAAF）认证，产品须符合竞赛要求。比赛专用纤维杆</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5根</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撑杆跳高送杆器</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铝合金材质，坚固耐用。</w:t>
                  </w:r>
                  <w:r>
                    <w:rPr>
                      <w:rFonts w:ascii="仿宋_GB2312" w:hAnsi="仿宋_GB2312" w:cs="仿宋_GB2312" w:eastAsia="仿宋_GB2312"/>
                      <w:sz w:val="21"/>
                    </w:rPr>
                    <w:t>2.</w:t>
                  </w:r>
                  <w:r>
                    <w:rPr>
                      <w:rFonts w:ascii="仿宋_GB2312" w:hAnsi="仿宋_GB2312" w:cs="仿宋_GB2312" w:eastAsia="仿宋_GB2312"/>
                      <w:sz w:val="21"/>
                    </w:rPr>
                    <w:t>伸缩式结构，长度</w:t>
                  </w:r>
                  <w:r>
                    <w:rPr>
                      <w:rFonts w:ascii="仿宋_GB2312" w:hAnsi="仿宋_GB2312" w:cs="仿宋_GB2312" w:eastAsia="仿宋_GB2312"/>
                      <w:sz w:val="21"/>
                    </w:rPr>
                    <w:t>2.8-4.5米。</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2副</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撑杆跳高丈量尺</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主要材料：铝合金</w:t>
                  </w:r>
                </w:p>
                <w:p>
                  <w:pPr>
                    <w:pStyle w:val="null3"/>
                    <w:jc w:val="left"/>
                  </w:pPr>
                  <w:r>
                    <w:rPr>
                      <w:rFonts w:ascii="仿宋_GB2312" w:hAnsi="仿宋_GB2312" w:cs="仿宋_GB2312" w:eastAsia="仿宋_GB2312"/>
                      <w:sz w:val="21"/>
                    </w:rPr>
                    <w:t>2.外形尺寸：1900×47×20mm</w:t>
                  </w:r>
                </w:p>
                <w:p>
                  <w:pPr>
                    <w:pStyle w:val="null3"/>
                    <w:jc w:val="left"/>
                  </w:pPr>
                  <w:r>
                    <w:rPr>
                      <w:rFonts w:ascii="仿宋_GB2312" w:hAnsi="仿宋_GB2312" w:cs="仿宋_GB2312" w:eastAsia="仿宋_GB2312"/>
                      <w:sz w:val="21"/>
                    </w:rPr>
                    <w:t>3.重量：3㎏</w:t>
                  </w:r>
                </w:p>
                <w:p>
                  <w:pPr>
                    <w:pStyle w:val="null3"/>
                    <w:jc w:val="left"/>
                  </w:pPr>
                  <w:r>
                    <w:rPr>
                      <w:rFonts w:ascii="仿宋_GB2312" w:hAnsi="仿宋_GB2312" w:cs="仿宋_GB2312" w:eastAsia="仿宋_GB2312"/>
                      <w:sz w:val="21"/>
                    </w:rPr>
                    <w:t>4.用途及性能：</w:t>
                  </w:r>
                </w:p>
                <w:p>
                  <w:pPr>
                    <w:pStyle w:val="null3"/>
                    <w:jc w:val="left"/>
                  </w:pPr>
                  <w:r>
                    <w:rPr>
                      <w:rFonts w:ascii="仿宋_GB2312" w:hAnsi="仿宋_GB2312" w:cs="仿宋_GB2312" w:eastAsia="仿宋_GB2312"/>
                      <w:sz w:val="21"/>
                    </w:rPr>
                    <w:t>1）撑杆丈量尺主架体是铝合金管，重量轻、移动方便、外型美观；</w:t>
                  </w:r>
                </w:p>
                <w:p>
                  <w:pPr>
                    <w:pStyle w:val="null3"/>
                    <w:jc w:val="left"/>
                  </w:pPr>
                  <w:r>
                    <w:rPr>
                      <w:rFonts w:ascii="仿宋_GB2312" w:hAnsi="仿宋_GB2312" w:cs="仿宋_GB2312" w:eastAsia="仿宋_GB2312"/>
                      <w:sz w:val="21"/>
                    </w:rPr>
                    <w:t>2）高度升降由四部分组成：接长管、2个内管、外管。除外管以外，其它管表面标有刻度，刻度范围分别是1900—3220mm米、3220—5100mm、5100—6500mm；</w:t>
                  </w:r>
                </w:p>
                <w:p>
                  <w:pPr>
                    <w:pStyle w:val="null3"/>
                    <w:jc w:val="left"/>
                  </w:pPr>
                  <w:r>
                    <w:rPr>
                      <w:rFonts w:ascii="仿宋_GB2312" w:hAnsi="仿宋_GB2312" w:cs="仿宋_GB2312" w:eastAsia="仿宋_GB2312"/>
                      <w:sz w:val="21"/>
                    </w:rPr>
                    <w:t>3）高度调节为手动调节，操作简单、方便。</w:t>
                  </w:r>
                </w:p>
                <w:p>
                  <w:pPr>
                    <w:pStyle w:val="null3"/>
                    <w:jc w:val="left"/>
                  </w:pPr>
                  <w:r>
                    <w:rPr>
                      <w:rFonts w:ascii="仿宋_GB2312" w:hAnsi="仿宋_GB2312" w:cs="仿宋_GB2312" w:eastAsia="仿宋_GB2312"/>
                      <w:sz w:val="21"/>
                    </w:rPr>
                    <w:t>4）立柱顶端丈量爪内装有无限遥控开关触点，当横杆高度到所需位置，横杆碰触丈量爪，丈量爪接通遥控开关，安装在立柱下方的响铃发出声音，表示已达到丈量高度。有专用的</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1副</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撑杆搁置架</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产品名称：横杆托杆架</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产品材质：铝合金</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产品规格：横杆有立杆和托架两部分组成，立杆采用铝合金圆管制作，分为外立杆和内立杆，高度可调节，调节范围为</w:t>
                  </w:r>
                  <w:r>
                    <w:rPr>
                      <w:rFonts w:ascii="仿宋_GB2312" w:hAnsi="仿宋_GB2312" w:cs="仿宋_GB2312" w:eastAsia="仿宋_GB2312"/>
                      <w:sz w:val="21"/>
                    </w:rPr>
                    <w:t>2-5.8米</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2个</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停赛标志牌</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40×20三角形</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5块</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布线带（白色）</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5公分宽</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长</w:t>
                  </w:r>
                  <w:r>
                    <w:rPr>
                      <w:rFonts w:ascii="仿宋_GB2312" w:hAnsi="仿宋_GB2312" w:cs="仿宋_GB2312" w:eastAsia="仿宋_GB2312"/>
                      <w:sz w:val="21"/>
                    </w:rPr>
                    <w:t>500米</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风标</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产品名称：风向标。</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产品材质：钢制，表面喷塑处理。仿绸布风兜。</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产品规格：</w:t>
                  </w:r>
                  <w:r>
                    <w:rPr>
                      <w:rFonts w:ascii="仿宋_GB2312" w:hAnsi="仿宋_GB2312" w:cs="仿宋_GB2312" w:eastAsia="仿宋_GB2312"/>
                      <w:sz w:val="21"/>
                    </w:rPr>
                    <w:t>20×150cm</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4个</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4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胸牌</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运动员</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N＋５０</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参赛人数</w:t>
                  </w: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vMerge/>
                  <w:tcBorders>
                    <w:top w:val="none" w:color="000000" w:sz="4"/>
                    <w:left w:val="single" w:color="000000" w:sz="4"/>
                    <w:bottom w:val="single" w:color="000000" w:sz="4"/>
                    <w:right w:val="single" w:color="000000" w:sz="4"/>
                  </w:tcBorders>
                </w:tcPr>
                <w:p/>
              </w:tc>
              <w:tc>
                <w:tcPr>
                  <w:tcW w:type="dxa" w:w="489"/>
                  <w:vMerge/>
                  <w:tcBorders>
                    <w:top w:val="none" w:color="000000" w:sz="4"/>
                    <w:left w:val="single" w:color="000000" w:sz="4"/>
                    <w:bottom w:val="single" w:color="000000" w:sz="4"/>
                    <w:right w:val="single" w:color="000000" w:sz="4"/>
                  </w:tcBorders>
                </w:tcP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领队、教练员</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按报名情况</w:t>
                  </w: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vMerge/>
                  <w:tcBorders>
                    <w:top w:val="none" w:color="000000" w:sz="4"/>
                    <w:left w:val="single" w:color="000000" w:sz="4"/>
                    <w:bottom w:val="single" w:color="000000" w:sz="4"/>
                    <w:right w:val="single" w:color="000000" w:sz="4"/>
                  </w:tcBorders>
                </w:tcPr>
                <w:p/>
              </w:tc>
              <w:tc>
                <w:tcPr>
                  <w:tcW w:type="dxa" w:w="489"/>
                  <w:vMerge/>
                  <w:tcBorders>
                    <w:top w:val="none" w:color="000000" w:sz="4"/>
                    <w:left w:val="single" w:color="000000" w:sz="4"/>
                    <w:bottom w:val="single" w:color="000000" w:sz="4"/>
                    <w:right w:val="single" w:color="000000" w:sz="4"/>
                  </w:tcBorders>
                </w:tcP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裁判员及工作人员</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含技术代表及官员、仲裁、志愿者等</w:t>
                  </w: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裁判员袖标</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主裁判以上各岗位</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125</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运动员号码布</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w:t>
                  </w:r>
                  <w:r>
                    <w:rPr>
                      <w:rFonts w:ascii="仿宋_GB2312" w:hAnsi="仿宋_GB2312" w:cs="仿宋_GB2312" w:eastAsia="仿宋_GB2312"/>
                      <w:sz w:val="21"/>
                    </w:rPr>
                    <w:t>20cm，宽：24cm，号码数字10cm，上方广告高度小于5cm，号码数字6-10cm，下方广告高度小于3cm</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根据参赛人数定</w:t>
                  </w: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别针</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长度约</w:t>
                  </w:r>
                  <w:r>
                    <w:rPr>
                      <w:rFonts w:ascii="仿宋_GB2312" w:hAnsi="仿宋_GB2312" w:cs="仿宋_GB2312" w:eastAsia="仿宋_GB2312"/>
                      <w:sz w:val="21"/>
                    </w:rPr>
                    <w:t>1.5cm，安全别针</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5盒</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按参赛人数定</w:t>
                  </w: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4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小号码布（侧号）</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w:t>
                  </w:r>
                  <w:r>
                    <w:rPr>
                      <w:rFonts w:ascii="仿宋_GB2312" w:hAnsi="仿宋_GB2312" w:cs="仿宋_GB2312" w:eastAsia="仿宋_GB2312"/>
                      <w:sz w:val="21"/>
                    </w:rPr>
                    <w:t>15cm,宽：10cm</w:t>
                  </w:r>
                </w:p>
              </w:tc>
              <w:tc>
                <w:tcPr>
                  <w:tcW w:type="dxa" w:w="3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1-9各350套9-15各6</w:t>
                  </w:r>
                  <w:r>
                    <w:rPr>
                      <w:rFonts w:ascii="仿宋_GB2312" w:hAnsi="仿宋_GB2312" w:cs="仿宋_GB2312" w:eastAsia="仿宋_GB2312"/>
                      <w:sz w:val="21"/>
                    </w:rPr>
                    <w:t>0</w:t>
                  </w:r>
                  <w:r>
                    <w:rPr>
                      <w:rFonts w:ascii="仿宋_GB2312" w:hAnsi="仿宋_GB2312" w:cs="仿宋_GB2312" w:eastAsia="仿宋_GB2312"/>
                      <w:sz w:val="21"/>
                    </w:rPr>
                    <w:t>套</w:t>
                  </w:r>
                  <w:r>
                    <w:rPr>
                      <w:rFonts w:ascii="仿宋_GB2312" w:hAnsi="仿宋_GB2312" w:cs="仿宋_GB2312" w:eastAsia="仿宋_GB2312"/>
                      <w:sz w:val="21"/>
                    </w:rPr>
                    <w:t>16-30各30套</w:t>
                  </w:r>
                </w:p>
              </w:tc>
              <w:tc>
                <w:tcPr>
                  <w:tcW w:type="dxa" w:w="3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制作</w:t>
                  </w: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vMerge/>
                  <w:tcBorders>
                    <w:top w:val="none" w:color="000000" w:sz="4"/>
                    <w:left w:val="single" w:color="000000" w:sz="4"/>
                    <w:bottom w:val="single" w:color="000000" w:sz="4"/>
                    <w:right w:val="single" w:color="000000" w:sz="4"/>
                  </w:tcBorders>
                </w:tcPr>
                <w:p/>
              </w:tc>
              <w:tc>
                <w:tcPr>
                  <w:tcW w:type="dxa" w:w="489"/>
                  <w:vMerge/>
                  <w:tcBorders>
                    <w:top w:val="none" w:color="000000" w:sz="4"/>
                    <w:left w:val="single" w:color="000000" w:sz="4"/>
                    <w:bottom w:val="single" w:color="000000" w:sz="4"/>
                    <w:right w:val="single" w:color="000000" w:sz="4"/>
                  </w:tcBorders>
                </w:tcP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必须是自粘胶的，可贴于衣物上不易掉的。</w:t>
                  </w:r>
                </w:p>
              </w:tc>
              <w:tc>
                <w:tcPr>
                  <w:tcW w:type="dxa" w:w="335"/>
                  <w:vMerge/>
                  <w:tcBorders>
                    <w:top w:val="none" w:color="000000" w:sz="4"/>
                    <w:left w:val="single" w:color="000000" w:sz="4"/>
                    <w:bottom w:val="single" w:color="000000" w:sz="4"/>
                    <w:right w:val="single" w:color="000000" w:sz="4"/>
                  </w:tcBorders>
                </w:tcPr>
                <w:p/>
              </w:tc>
              <w:tc>
                <w:tcPr>
                  <w:tcW w:type="dxa" w:w="317"/>
                  <w:vMerge/>
                  <w:tcBorders>
                    <w:top w:val="none" w:color="000000" w:sz="4"/>
                    <w:left w:val="single" w:color="000000" w:sz="4"/>
                    <w:bottom w:val="single" w:color="000000" w:sz="4"/>
                    <w:right w:val="single" w:color="000000" w:sz="4"/>
                  </w:tcBorders>
                </w:tc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14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陕西省第十八届运动会田径竞走比赛器材清单</w:t>
                  </w: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4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物品</w:t>
                  </w:r>
                </w:p>
              </w:tc>
              <w:tc>
                <w:tcPr>
                  <w:tcW w:type="dxa" w:w="8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规格</w:t>
                  </w:r>
                </w:p>
              </w:tc>
              <w:tc>
                <w:tcPr>
                  <w:tcW w:type="dxa" w:w="3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3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备注</w:t>
                  </w: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起终点拱门</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根据赛道宽</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起点带、冲刺带</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根据赛道宽</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5、3、1倒计时牌</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各一</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4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地贴</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宽：</w:t>
                  </w:r>
                  <w:r>
                    <w:rPr>
                      <w:rFonts w:ascii="仿宋_GB2312" w:hAnsi="仿宋_GB2312" w:cs="仿宋_GB2312" w:eastAsia="仿宋_GB2312"/>
                      <w:sz w:val="21"/>
                    </w:rPr>
                    <w:t>30公分</w:t>
                  </w:r>
                </w:p>
              </w:tc>
              <w:tc>
                <w:tcPr>
                  <w:tcW w:type="dxa" w:w="3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vMerge/>
                  <w:tcBorders>
                    <w:top w:val="none" w:color="000000" w:sz="4"/>
                    <w:left w:val="single" w:color="000000" w:sz="4"/>
                    <w:bottom w:val="single" w:color="000000" w:sz="4"/>
                    <w:right w:val="single" w:color="000000" w:sz="4"/>
                  </w:tcBorders>
                </w:tcPr>
                <w:p/>
              </w:tc>
              <w:tc>
                <w:tcPr>
                  <w:tcW w:type="dxa" w:w="489"/>
                  <w:vMerge/>
                  <w:tcBorders>
                    <w:top w:val="none" w:color="000000" w:sz="4"/>
                    <w:left w:val="single" w:color="000000" w:sz="4"/>
                    <w:bottom w:val="single" w:color="000000" w:sz="4"/>
                    <w:right w:val="single" w:color="000000" w:sz="4"/>
                  </w:tcBorders>
                </w:tcP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长：赛道宽</w:t>
                  </w:r>
                </w:p>
              </w:tc>
              <w:tc>
                <w:tcPr>
                  <w:tcW w:type="dxa" w:w="335"/>
                  <w:vMerge/>
                  <w:tcBorders>
                    <w:top w:val="none" w:color="000000" w:sz="4"/>
                    <w:left w:val="single" w:color="000000" w:sz="4"/>
                    <w:bottom w:val="single" w:color="000000" w:sz="4"/>
                    <w:right w:val="single" w:color="000000" w:sz="4"/>
                  </w:tcBorders>
                </w:tcPr>
                <w:p/>
              </w:tc>
              <w:tc>
                <w:tcPr>
                  <w:tcW w:type="dxa" w:w="317"/>
                  <w:vMerge/>
                  <w:tcBorders>
                    <w:top w:val="none" w:color="000000" w:sz="4"/>
                    <w:left w:val="single" w:color="000000" w:sz="4"/>
                    <w:bottom w:val="single" w:color="000000" w:sz="4"/>
                    <w:right w:val="single" w:color="000000" w:sz="4"/>
                  </w:tcBorders>
                </w:tc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芯片计时毯</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拱门一半的长度</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芯片</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可持续测量时间：</w:t>
                  </w:r>
                  <w:r>
                    <w:rPr>
                      <w:rFonts w:ascii="仿宋_GB2312" w:hAnsi="仿宋_GB2312" w:cs="仿宋_GB2312" w:eastAsia="仿宋_GB2312"/>
                      <w:sz w:val="21"/>
                    </w:rPr>
                    <w:t>0 ～ 10小时</w:t>
                  </w:r>
                </w:p>
                <w:p>
                  <w:pPr>
                    <w:pStyle w:val="null3"/>
                    <w:jc w:val="left"/>
                  </w:pPr>
                  <w:r>
                    <w:rPr>
                      <w:rFonts w:ascii="仿宋_GB2312" w:hAnsi="仿宋_GB2312" w:cs="仿宋_GB2312" w:eastAsia="仿宋_GB2312"/>
                      <w:sz w:val="21"/>
                    </w:rPr>
                    <w:t>工控机显示尺寸：</w:t>
                  </w:r>
                  <w:r>
                    <w:rPr>
                      <w:rFonts w:ascii="仿宋_GB2312" w:hAnsi="仿宋_GB2312" w:cs="仿宋_GB2312" w:eastAsia="仿宋_GB2312"/>
                      <w:sz w:val="21"/>
                    </w:rPr>
                    <w:t>12.1英寸</w:t>
                  </w:r>
                </w:p>
                <w:p>
                  <w:pPr>
                    <w:pStyle w:val="null3"/>
                    <w:jc w:val="left"/>
                  </w:pPr>
                  <w:r>
                    <w:rPr>
                      <w:rFonts w:ascii="仿宋_GB2312" w:hAnsi="仿宋_GB2312" w:cs="仿宋_GB2312" w:eastAsia="仿宋_GB2312"/>
                      <w:sz w:val="21"/>
                    </w:rPr>
                    <w:t>工控机显示分辨率：</w:t>
                  </w:r>
                  <w:r>
                    <w:rPr>
                      <w:rFonts w:ascii="仿宋_GB2312" w:hAnsi="仿宋_GB2312" w:cs="仿宋_GB2312" w:eastAsia="仿宋_GB2312"/>
                      <w:sz w:val="21"/>
                    </w:rPr>
                    <w:t>1024×768</w:t>
                  </w:r>
                </w:p>
                <w:p>
                  <w:pPr>
                    <w:pStyle w:val="null3"/>
                    <w:jc w:val="left"/>
                  </w:pPr>
                  <w:r>
                    <w:rPr>
                      <w:rFonts w:ascii="仿宋_GB2312" w:hAnsi="仿宋_GB2312" w:cs="仿宋_GB2312" w:eastAsia="仿宋_GB2312"/>
                      <w:sz w:val="21"/>
                    </w:rPr>
                    <w:t>计时精度</w:t>
                  </w:r>
                  <w:r>
                    <w:rPr>
                      <w:rFonts w:ascii="仿宋_GB2312" w:hAnsi="仿宋_GB2312" w:cs="仿宋_GB2312" w:eastAsia="仿宋_GB2312"/>
                      <w:sz w:val="21"/>
                    </w:rPr>
                    <w:t>: 0.01秒 ，计时误差：±0.1秒</w:t>
                  </w:r>
                </w:p>
                <w:p>
                  <w:pPr>
                    <w:pStyle w:val="null3"/>
                    <w:jc w:val="left"/>
                  </w:pPr>
                  <w:r>
                    <w:rPr>
                      <w:rFonts w:ascii="仿宋_GB2312" w:hAnsi="仿宋_GB2312" w:cs="仿宋_GB2312" w:eastAsia="仿宋_GB2312"/>
                      <w:sz w:val="21"/>
                    </w:rPr>
                    <w:t>感应频率：</w:t>
                  </w:r>
                  <w:r>
                    <w:br/>
                  </w:r>
                  <w:r>
                    <w:rPr>
                      <w:rFonts w:ascii="仿宋_GB2312" w:hAnsi="仿宋_GB2312" w:cs="仿宋_GB2312" w:eastAsia="仿宋_GB2312"/>
                      <w:sz w:val="21"/>
                    </w:rPr>
                    <w:t>1.激活频率：125K。2.接收频率：2.4GHz</w:t>
                  </w:r>
                </w:p>
                <w:p>
                  <w:pPr>
                    <w:pStyle w:val="null3"/>
                    <w:jc w:val="left"/>
                  </w:pPr>
                  <w:r>
                    <w:rPr>
                      <w:rFonts w:ascii="仿宋_GB2312" w:hAnsi="仿宋_GB2312" w:cs="仿宋_GB2312" w:eastAsia="仿宋_GB2312"/>
                      <w:sz w:val="21"/>
                    </w:rPr>
                    <w:t>有源芯片（不含腕带）</w:t>
                  </w:r>
                  <w:r>
                    <w:rPr>
                      <w:rFonts w:ascii="仿宋_GB2312" w:hAnsi="仿宋_GB2312" w:cs="仿宋_GB2312" w:eastAsia="仿宋_GB2312"/>
                      <w:sz w:val="21"/>
                    </w:rPr>
                    <w:t>:尺寸：3.7cm×3.3cm×1cm，重量：约20g</w:t>
                  </w:r>
                </w:p>
                <w:p>
                  <w:pPr>
                    <w:pStyle w:val="null3"/>
                    <w:jc w:val="left"/>
                  </w:pPr>
                  <w:r>
                    <w:rPr>
                      <w:rFonts w:ascii="仿宋_GB2312" w:hAnsi="仿宋_GB2312" w:cs="仿宋_GB2312" w:eastAsia="仿宋_GB2312"/>
                      <w:sz w:val="21"/>
                    </w:rPr>
                    <w:t>腕表式芯片方便佩戴；</w:t>
                  </w:r>
                </w:p>
                <w:p>
                  <w:pPr>
                    <w:pStyle w:val="null3"/>
                    <w:jc w:val="left"/>
                  </w:pPr>
                  <w:r>
                    <w:rPr>
                      <w:rFonts w:ascii="仿宋_GB2312" w:hAnsi="仿宋_GB2312" w:cs="仿宋_GB2312" w:eastAsia="仿宋_GB2312"/>
                      <w:sz w:val="21"/>
                    </w:rPr>
                    <w:t>接收范围可覆盖</w:t>
                  </w:r>
                  <w:r>
                    <w:rPr>
                      <w:rFonts w:ascii="仿宋_GB2312" w:hAnsi="仿宋_GB2312" w:cs="仿宋_GB2312" w:eastAsia="仿宋_GB2312"/>
                      <w:sz w:val="21"/>
                    </w:rPr>
                    <w:t>15米；</w:t>
                  </w:r>
                </w:p>
                <w:p>
                  <w:pPr>
                    <w:pStyle w:val="null3"/>
                    <w:jc w:val="left"/>
                  </w:pPr>
                  <w:r>
                    <w:rPr>
                      <w:rFonts w:ascii="仿宋_GB2312" w:hAnsi="仿宋_GB2312" w:cs="仿宋_GB2312" w:eastAsia="仿宋_GB2312"/>
                      <w:sz w:val="21"/>
                    </w:rPr>
                    <w:t>完备的防冲撞机制，能够同时识别大量芯片；</w:t>
                  </w:r>
                </w:p>
                <w:p>
                  <w:pPr>
                    <w:pStyle w:val="null3"/>
                    <w:jc w:val="left"/>
                  </w:pPr>
                  <w:r>
                    <w:rPr>
                      <w:rFonts w:ascii="仿宋_GB2312" w:hAnsi="仿宋_GB2312" w:cs="仿宋_GB2312" w:eastAsia="仿宋_GB2312"/>
                      <w:sz w:val="21"/>
                    </w:rPr>
                    <w:t>支持无线信号触发和芯片触发计时；</w:t>
                  </w:r>
                </w:p>
                <w:p>
                  <w:pPr>
                    <w:pStyle w:val="null3"/>
                    <w:jc w:val="left"/>
                  </w:pPr>
                  <w:r>
                    <w:rPr>
                      <w:rFonts w:ascii="仿宋_GB2312" w:hAnsi="仿宋_GB2312" w:cs="仿宋_GB2312" w:eastAsia="仿宋_GB2312"/>
                      <w:sz w:val="21"/>
                    </w:rPr>
                    <w:t>支持通过同步装置或网络时钟进行远距离发令同步；</w:t>
                  </w:r>
                </w:p>
                <w:p>
                  <w:pPr>
                    <w:pStyle w:val="null3"/>
                    <w:jc w:val="left"/>
                  </w:pPr>
                  <w:r>
                    <w:rPr>
                      <w:rFonts w:ascii="仿宋_GB2312" w:hAnsi="仿宋_GB2312" w:cs="仿宋_GB2312" w:eastAsia="仿宋_GB2312"/>
                      <w:sz w:val="21"/>
                    </w:rPr>
                    <w:t>芯片检测和读取状态的声光指示；</w:t>
                  </w:r>
                </w:p>
                <w:p>
                  <w:pPr>
                    <w:pStyle w:val="null3"/>
                    <w:jc w:val="left"/>
                  </w:pPr>
                  <w:r>
                    <w:rPr>
                      <w:rFonts w:ascii="仿宋_GB2312" w:hAnsi="仿宋_GB2312" w:cs="仿宋_GB2312" w:eastAsia="仿宋_GB2312"/>
                      <w:sz w:val="21"/>
                    </w:rPr>
                    <w:t>具备自动计圈功能，并能提供每个计时点成绩；</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90</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分流锥桶</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橡胶，带品格反光条。</w:t>
                  </w:r>
                  <w:r>
                    <w:rPr>
                      <w:rFonts w:ascii="仿宋_GB2312" w:hAnsi="仿宋_GB2312" w:cs="仿宋_GB2312" w:eastAsia="仿宋_GB2312"/>
                      <w:sz w:val="21"/>
                    </w:rPr>
                    <w:t>30cm。</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分流牌</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继续、到达</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赛道指示牌</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饮用水站、喷淋站、卫生间、自备饮料、医疗、罚停区、折返指示牌</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若干</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隔离花盆</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摆折返水滴、赛道中间隔离</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约</w:t>
                  </w:r>
                  <w:r>
                    <w:rPr>
                      <w:rFonts w:ascii="仿宋_GB2312" w:hAnsi="仿宋_GB2312" w:cs="仿宋_GB2312" w:eastAsia="仿宋_GB2312"/>
                      <w:sz w:val="21"/>
                    </w:rPr>
                    <w:t>200盆</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赛道测量小轮车</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电子数显测轮，机械式测距。</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海绵块</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优质环保海绵，</w:t>
                  </w:r>
                  <w:r>
                    <w:rPr>
                      <w:rFonts w:ascii="仿宋_GB2312" w:hAnsi="仿宋_GB2312" w:cs="仿宋_GB2312" w:eastAsia="仿宋_GB2312"/>
                      <w:sz w:val="21"/>
                    </w:rPr>
                    <w:t>5*9*18cm</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500块</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垃圾池</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2x1.5x0.5</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电动自行车</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国标，用于传卡，便捷耐用。</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传卡</w:t>
                  </w: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移动厕所</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单间，移动，简易，加固处理，不生锈，不褪色，彩钢材质，</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双面计时钟</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计时精度：</w:t>
                  </w:r>
                  <w:r>
                    <w:rPr>
                      <w:rFonts w:ascii="仿宋_GB2312" w:hAnsi="仿宋_GB2312" w:cs="仿宋_GB2312" w:eastAsia="仿宋_GB2312"/>
                      <w:sz w:val="21"/>
                    </w:rPr>
                    <w:t>1/100秒，稳定度：1PPM</w:t>
                  </w:r>
                </w:p>
                <w:p>
                  <w:pPr>
                    <w:pStyle w:val="null3"/>
                    <w:jc w:val="left"/>
                  </w:pPr>
                  <w:r>
                    <w:rPr>
                      <w:rFonts w:ascii="仿宋_GB2312" w:hAnsi="仿宋_GB2312" w:cs="仿宋_GB2312" w:eastAsia="仿宋_GB2312"/>
                      <w:sz w:val="21"/>
                    </w:rPr>
                    <w:t>显示屏：</w:t>
                  </w:r>
                </w:p>
                <w:p>
                  <w:pPr>
                    <w:pStyle w:val="null3"/>
                    <w:jc w:val="left"/>
                  </w:pPr>
                  <w:r>
                    <w:rPr>
                      <w:rFonts w:ascii="仿宋_GB2312" w:hAnsi="仿宋_GB2312" w:cs="仿宋_GB2312" w:eastAsia="仿宋_GB2312"/>
                      <w:sz w:val="21"/>
                    </w:rPr>
                    <w:t>显示面积：不小于</w:t>
                  </w:r>
                  <w:r>
                    <w:rPr>
                      <w:rFonts w:ascii="仿宋_GB2312" w:hAnsi="仿宋_GB2312" w:cs="仿宋_GB2312" w:eastAsia="仿宋_GB2312"/>
                      <w:sz w:val="21"/>
                    </w:rPr>
                    <w:t>128×26cm</w:t>
                  </w:r>
                </w:p>
                <w:p>
                  <w:pPr>
                    <w:pStyle w:val="null3"/>
                    <w:jc w:val="left"/>
                  </w:pPr>
                  <w:r>
                    <w:rPr>
                      <w:rFonts w:ascii="仿宋_GB2312" w:hAnsi="仿宋_GB2312" w:cs="仿宋_GB2312" w:eastAsia="仿宋_GB2312"/>
                      <w:sz w:val="21"/>
                    </w:rPr>
                    <w:t>净重（</w:t>
                  </w:r>
                  <w:r>
                    <w:rPr>
                      <w:rFonts w:ascii="仿宋_GB2312" w:hAnsi="仿宋_GB2312" w:cs="仿宋_GB2312" w:eastAsia="仿宋_GB2312"/>
                      <w:sz w:val="21"/>
                    </w:rPr>
                    <w:t>KG）：不大于16KG</w:t>
                  </w:r>
                </w:p>
                <w:p>
                  <w:pPr>
                    <w:pStyle w:val="null3"/>
                    <w:jc w:val="left"/>
                  </w:pPr>
                  <w:r>
                    <w:rPr>
                      <w:rFonts w:ascii="仿宋_GB2312" w:hAnsi="仿宋_GB2312" w:cs="仿宋_GB2312" w:eastAsia="仿宋_GB2312"/>
                      <w:sz w:val="21"/>
                    </w:rPr>
                    <w:t>五位数码显示；</w:t>
                  </w:r>
                </w:p>
                <w:p>
                  <w:pPr>
                    <w:pStyle w:val="null3"/>
                    <w:jc w:val="left"/>
                  </w:pPr>
                  <w:r>
                    <w:rPr>
                      <w:rFonts w:ascii="仿宋_GB2312" w:hAnsi="仿宋_GB2312" w:cs="仿宋_GB2312" w:eastAsia="仿宋_GB2312"/>
                      <w:sz w:val="21"/>
                    </w:rPr>
                    <w:t>选配外置电池可支持</w:t>
                  </w:r>
                  <w:r>
                    <w:rPr>
                      <w:rFonts w:ascii="仿宋_GB2312" w:hAnsi="仿宋_GB2312" w:cs="仿宋_GB2312" w:eastAsia="仿宋_GB2312"/>
                      <w:sz w:val="21"/>
                    </w:rPr>
                    <w:t>12小时计时；</w:t>
                  </w:r>
                </w:p>
                <w:p>
                  <w:pPr>
                    <w:pStyle w:val="null3"/>
                    <w:jc w:val="left"/>
                  </w:pPr>
                  <w:r>
                    <w:rPr>
                      <w:rFonts w:ascii="仿宋_GB2312" w:hAnsi="仿宋_GB2312" w:cs="仿宋_GB2312" w:eastAsia="仿宋_GB2312"/>
                      <w:sz w:val="21"/>
                    </w:rPr>
                    <w:t>可选配不同的支架：车载支架、悬挂支架、落地支架；</w:t>
                  </w:r>
                </w:p>
                <w:p>
                  <w:pPr>
                    <w:pStyle w:val="null3"/>
                    <w:jc w:val="left"/>
                  </w:pPr>
                  <w:r>
                    <w:rPr>
                      <w:rFonts w:ascii="仿宋_GB2312" w:hAnsi="仿宋_GB2312" w:cs="仿宋_GB2312" w:eastAsia="仿宋_GB2312"/>
                      <w:sz w:val="21"/>
                    </w:rPr>
                    <w:t>支持无线传感器启动、自动发令系统启动。</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罚停区一个、起终点一个</w:t>
                  </w: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隔离带</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10个</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红卡显示屏</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设置比赛信息</w:t>
                  </w:r>
                  <w:r>
                    <w:rPr>
                      <w:rFonts w:ascii="仿宋_GB2312" w:hAnsi="仿宋_GB2312" w:cs="仿宋_GB2312" w:eastAsia="仿宋_GB2312"/>
                      <w:sz w:val="21"/>
                    </w:rPr>
                    <w:t>(组别、项目、裁判、赛次、分组、运动员等)；</w:t>
                  </w:r>
                </w:p>
                <w:p>
                  <w:pPr>
                    <w:pStyle w:val="null3"/>
                    <w:jc w:val="left"/>
                  </w:pPr>
                  <w:r>
                    <w:rPr>
                      <w:rFonts w:ascii="仿宋_GB2312" w:hAnsi="仿宋_GB2312" w:cs="仿宋_GB2312" w:eastAsia="仿宋_GB2312"/>
                      <w:sz w:val="21"/>
                    </w:rPr>
                    <w:t>可对犯规信息进行添加、修改、删除、并显示屏；</w:t>
                  </w:r>
                </w:p>
                <w:p>
                  <w:pPr>
                    <w:pStyle w:val="null3"/>
                    <w:jc w:val="left"/>
                  </w:pPr>
                  <w:r>
                    <w:rPr>
                      <w:rFonts w:ascii="仿宋_GB2312" w:hAnsi="仿宋_GB2312" w:cs="仿宋_GB2312" w:eastAsia="仿宋_GB2312"/>
                      <w:sz w:val="21"/>
                    </w:rPr>
                    <w:t>单屏最多可显示</w:t>
                  </w:r>
                  <w:r>
                    <w:rPr>
                      <w:rFonts w:ascii="仿宋_GB2312" w:hAnsi="仿宋_GB2312" w:cs="仿宋_GB2312" w:eastAsia="仿宋_GB2312"/>
                      <w:sz w:val="21"/>
                    </w:rPr>
                    <w:t>40名竞走运动员的红卡信息,多屏显示模式运动员数量不限；</w:t>
                  </w:r>
                </w:p>
                <w:p>
                  <w:pPr>
                    <w:pStyle w:val="null3"/>
                    <w:jc w:val="left"/>
                  </w:pPr>
                  <w:r>
                    <w:rPr>
                      <w:rFonts w:ascii="仿宋_GB2312" w:hAnsi="仿宋_GB2312" w:cs="仿宋_GB2312" w:eastAsia="仿宋_GB2312"/>
                      <w:sz w:val="21"/>
                    </w:rPr>
                    <w:t>可以手工设置红卡信息</w:t>
                  </w:r>
                  <w:r>
                    <w:rPr>
                      <w:rFonts w:ascii="仿宋_GB2312" w:hAnsi="仿宋_GB2312" w:cs="仿宋_GB2312" w:eastAsia="仿宋_GB2312"/>
                      <w:sz w:val="21"/>
                    </w:rPr>
                    <w:t>,并手工控制显示；</w:t>
                  </w:r>
                </w:p>
                <w:p>
                  <w:pPr>
                    <w:pStyle w:val="null3"/>
                    <w:jc w:val="left"/>
                  </w:pPr>
                  <w:r>
                    <w:rPr>
                      <w:rFonts w:ascii="仿宋_GB2312" w:hAnsi="仿宋_GB2312" w:cs="仿宋_GB2312" w:eastAsia="仿宋_GB2312"/>
                      <w:sz w:val="21"/>
                    </w:rPr>
                    <w:t>支持</w:t>
                  </w:r>
                  <w:r>
                    <w:rPr>
                      <w:rFonts w:ascii="仿宋_GB2312" w:hAnsi="仿宋_GB2312" w:cs="仿宋_GB2312" w:eastAsia="仿宋_GB2312"/>
                      <w:sz w:val="21"/>
                    </w:rPr>
                    <w:t>4次显示；</w:t>
                  </w:r>
                </w:p>
                <w:p>
                  <w:pPr>
                    <w:pStyle w:val="null3"/>
                    <w:jc w:val="left"/>
                  </w:pPr>
                  <w:r>
                    <w:rPr>
                      <w:rFonts w:ascii="仿宋_GB2312" w:hAnsi="仿宋_GB2312" w:cs="仿宋_GB2312" w:eastAsia="仿宋_GB2312"/>
                      <w:sz w:val="21"/>
                    </w:rPr>
                    <w:t>Windows操作系统, 使用简便。</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红卡</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直径</w:t>
                  </w:r>
                  <w:r>
                    <w:rPr>
                      <w:rFonts w:ascii="仿宋_GB2312" w:hAnsi="仿宋_GB2312" w:cs="仿宋_GB2312" w:eastAsia="仿宋_GB2312"/>
                      <w:sz w:val="21"/>
                    </w:rPr>
                    <w:t>4.5cm，可粘贴红色圆片（分腾空和曲腿）</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2×50</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大桶饮用水</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大会饮用</w:t>
                  </w:r>
                  <w:r>
                    <w:rPr>
                      <w:rFonts w:ascii="仿宋_GB2312" w:hAnsi="仿宋_GB2312" w:cs="仿宋_GB2312" w:eastAsia="仿宋_GB2312"/>
                      <w:sz w:val="21"/>
                    </w:rPr>
                    <w:t>/水站</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20桶</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橙汁饮料</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大会饮用</w:t>
                  </w:r>
                  <w:r>
                    <w:rPr>
                      <w:rFonts w:ascii="仿宋_GB2312" w:hAnsi="仿宋_GB2312" w:cs="仿宋_GB2312" w:eastAsia="仿宋_GB2312"/>
                      <w:sz w:val="21"/>
                    </w:rPr>
                    <w:t>/水站</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10箱</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一次性手套</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PVC材质，健康无味。</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4包</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各代表单位显示牌</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根据报名单位</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冰块</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国标；冰敷用。</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若干</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红卡</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裁判员记录卡</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若干</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白卡</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裁判员记录卡</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若干</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总记录表</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裁判员记录卡</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若干</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长尾票夹</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各个尺寸规格各一盒，</w:t>
                  </w:r>
                  <w:r>
                    <w:rPr>
                      <w:rFonts w:ascii="仿宋_GB2312" w:hAnsi="仿宋_GB2312" w:cs="仿宋_GB2312" w:eastAsia="仿宋_GB2312"/>
                      <w:sz w:val="21"/>
                    </w:rPr>
                    <w:t>4色混装。</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5盒</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sz w:val="21"/>
                <w:color w:val="000000"/>
              </w:rPr>
              <w:t>注：本采购清单可由采购人根据实际需求适当调整，最终以实际配送数量，按照履约验收合格后据实结算。</w:t>
            </w:r>
          </w:p>
          <w:p>
            <w:pPr>
              <w:pStyle w:val="null3"/>
            </w:pPr>
            <w:r>
              <w:rPr>
                <w:rFonts w:ascii="仿宋_GB2312" w:hAnsi="仿宋_GB2312" w:cs="仿宋_GB2312" w:eastAsia="仿宋_GB2312"/>
                <w:sz w:val="21"/>
              </w:rPr>
              <w:t>2.</w:t>
            </w:r>
            <w:r>
              <w:rPr>
                <w:rFonts w:ascii="仿宋_GB2312" w:hAnsi="仿宋_GB2312" w:cs="仿宋_GB2312" w:eastAsia="仿宋_GB2312"/>
                <w:sz w:val="21"/>
              </w:rPr>
              <w:t>质量要求：货物（产品）制造商、经销代理商应严格遵守《中华人民共和国产品质量法》，确保提供的产品符合质量标准，达到合格产品的要求。可能危及人体健康和人身、财产安全的工业产品，必须符合保障人体健康和人身、财产安全的国家标准、行业标准；未制定国家标准、行业标准的，必须符合保障人体健康和人身、财产安全的要求。</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标的名称：武术体操门球类项目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1.采购清单：（核心产品：体操全旋器）</w:t>
            </w:r>
          </w:p>
          <w:tbl>
            <w:tblPr>
              <w:tblBorders>
                <w:top w:val="none" w:color="000000" w:sz="4"/>
                <w:left w:val="none" w:color="000000" w:sz="4"/>
                <w:bottom w:val="none" w:color="000000" w:sz="4"/>
                <w:right w:val="none" w:color="000000" w:sz="4"/>
                <w:insideH w:val="none"/>
                <w:insideV w:val="none"/>
              </w:tblBorders>
            </w:tblPr>
            <w:tblGrid>
              <w:gridCol w:w="140"/>
              <w:gridCol w:w="271"/>
              <w:gridCol w:w="153"/>
              <w:gridCol w:w="496"/>
              <w:gridCol w:w="843"/>
              <w:gridCol w:w="329"/>
              <w:gridCol w:w="320"/>
            </w:tblGrid>
            <w:tr>
              <w:tc>
                <w:tcPr>
                  <w:tcW w:type="dxa" w:w="1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项目</w:t>
                  </w:r>
                </w:p>
              </w:tc>
              <w:tc>
                <w:tcPr>
                  <w:tcW w:type="dxa" w:w="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4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专用器材名称</w:t>
                  </w:r>
                </w:p>
              </w:tc>
              <w:tc>
                <w:tcPr>
                  <w:tcW w:type="dxa" w:w="8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功能、规格、说明</w:t>
                  </w:r>
                </w:p>
              </w:tc>
              <w:tc>
                <w:tcPr>
                  <w:tcW w:type="dxa" w:w="3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总数</w:t>
                  </w:r>
                </w:p>
              </w:tc>
              <w:tc>
                <w:tcPr>
                  <w:tcW w:type="dxa" w:w="3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备注</w:t>
                  </w:r>
                </w:p>
              </w:tc>
            </w:tr>
            <w:tr>
              <w:tc>
                <w:tcPr>
                  <w:tcW w:type="dxa" w:w="1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武术套路</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武术套路比赛场地</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中国武协竞赛认定产品；</w:t>
                  </w:r>
                </w:p>
              </w:tc>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含专用地毯，底板</w:t>
                  </w:r>
                </w:p>
              </w:tc>
            </w:tr>
            <w:tr>
              <w:tc>
                <w:tcPr>
                  <w:tcW w:type="dxa" w:w="140"/>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地毯</w:t>
                  </w:r>
                  <w:r>
                    <w:rPr>
                      <w:rFonts w:ascii="仿宋_GB2312" w:hAnsi="仿宋_GB2312" w:cs="仿宋_GB2312" w:eastAsia="仿宋_GB2312"/>
                      <w:sz w:val="21"/>
                    </w:rPr>
                    <w:t>/地胶</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1000平方米</w:t>
                  </w:r>
                </w:p>
              </w:tc>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器械架</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比赛用：长</w:t>
                  </w:r>
                  <w:r>
                    <w:rPr>
                      <w:rFonts w:ascii="仿宋_GB2312" w:hAnsi="仿宋_GB2312" w:cs="仿宋_GB2312" w:eastAsia="仿宋_GB2312"/>
                      <w:sz w:val="21"/>
                    </w:rPr>
                    <w:t>2m×宽0.5m×高1.8m，10孔，不锈钢/硬木。</w:t>
                  </w:r>
                  <w:r>
                    <w:br/>
                  </w:r>
                  <w:r>
                    <w:rPr>
                      <w:rFonts w:ascii="仿宋_GB2312" w:hAnsi="仿宋_GB2312" w:cs="仿宋_GB2312" w:eastAsia="仿宋_GB2312"/>
                      <w:sz w:val="21"/>
                    </w:rPr>
                    <w:t>训练用：</w:t>
                  </w:r>
                  <w:r>
                    <w:rPr>
                      <w:rFonts w:ascii="仿宋_GB2312" w:hAnsi="仿宋_GB2312" w:cs="仿宋_GB2312" w:eastAsia="仿宋_GB2312"/>
                      <w:sz w:val="21"/>
                    </w:rPr>
                    <w:t>1.5m×0.4m×1.7m，8孔，松木/钢管，可移动带轮。</w:t>
                  </w:r>
                  <w:r>
                    <w:br/>
                  </w:r>
                  <w:r>
                    <w:rPr>
                      <w:rFonts w:ascii="仿宋_GB2312" w:hAnsi="仿宋_GB2312" w:cs="仿宋_GB2312" w:eastAsia="仿宋_GB2312"/>
                      <w:sz w:val="21"/>
                    </w:rPr>
                    <w:t>核心要求：稳固不倾倒、无尖锐棱角、表面防滑。</w:t>
                  </w:r>
                </w:p>
              </w:tc>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计时记分系统</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符合全国比赛标准</w:t>
                  </w:r>
                  <w:r>
                    <w:rPr>
                      <w:rFonts w:ascii="仿宋_GB2312" w:hAnsi="仿宋_GB2312" w:cs="仿宋_GB2312" w:eastAsia="仿宋_GB2312"/>
                      <w:sz w:val="21"/>
                    </w:rPr>
                    <w:t>SCB VIEWER。</w:t>
                  </w:r>
                  <w:r>
                    <w:br/>
                  </w:r>
                  <w:r>
                    <w:rPr>
                      <w:rFonts w:ascii="仿宋_GB2312" w:hAnsi="仿宋_GB2312" w:cs="仿宋_GB2312" w:eastAsia="仿宋_GB2312"/>
                      <w:sz w:val="21"/>
                    </w:rPr>
                    <w:t>单场地</w:t>
                  </w:r>
                  <w:r>
                    <w:rPr>
                      <w:rFonts w:ascii="仿宋_GB2312" w:hAnsi="仿宋_GB2312" w:cs="仿宋_GB2312" w:eastAsia="仿宋_GB2312"/>
                      <w:sz w:val="21"/>
                    </w:rPr>
                    <w:t>比分显示；</w:t>
                  </w:r>
                  <w:r>
                    <w:rPr>
                      <w:rFonts w:ascii="仿宋_GB2312" w:hAnsi="仿宋_GB2312" w:cs="仿宋_GB2312" w:eastAsia="仿宋_GB2312"/>
                      <w:sz w:val="21"/>
                    </w:rPr>
                    <w:t>LED屏比分汇总显示；检录区显示。</w:t>
                  </w:r>
                  <w:r>
                    <w:rPr>
                      <w:rFonts w:ascii="仿宋_GB2312" w:hAnsi="仿宋_GB2312" w:cs="仿宋_GB2312" w:eastAsia="仿宋_GB2312"/>
                      <w:sz w:val="21"/>
                    </w:rPr>
                    <w:t>租用</w:t>
                  </w:r>
                </w:p>
              </w:tc>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有偿租用</w:t>
                  </w:r>
                </w:p>
              </w:tc>
            </w:tr>
            <w:tr>
              <w:tc>
                <w:tcPr>
                  <w:tcW w:type="dxa" w:w="1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武术散打</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专用器材名称</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功能、规格、说明</w:t>
                  </w:r>
                </w:p>
              </w:tc>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总数</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备注</w:t>
                  </w:r>
                </w:p>
              </w:tc>
            </w:tr>
            <w:tr>
              <w:tc>
                <w:tcPr>
                  <w:tcW w:type="dxa" w:w="140"/>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擂台</w:t>
                  </w:r>
                  <w:r>
                    <w:rPr>
                      <w:rFonts w:ascii="仿宋_GB2312" w:hAnsi="仿宋_GB2312" w:cs="仿宋_GB2312" w:eastAsia="仿宋_GB2312"/>
                      <w:sz w:val="21"/>
                    </w:rPr>
                    <w:t>+四周保护软垫</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擂台（高</w:t>
                  </w:r>
                  <w:r>
                    <w:rPr>
                      <w:rFonts w:ascii="仿宋_GB2312" w:hAnsi="仿宋_GB2312" w:cs="仿宋_GB2312" w:eastAsia="仿宋_GB2312"/>
                      <w:sz w:val="21"/>
                    </w:rPr>
                    <w:t>80CM、长800CM、宽800CM）、保护垫（高30CM、宽200CM）</w:t>
                  </w:r>
                </w:p>
              </w:tc>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男子比赛护具</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包括护头、护胸、拳套、护裆和护具包，型号</w:t>
                  </w:r>
                  <w:r>
                    <w:rPr>
                      <w:rFonts w:ascii="仿宋_GB2312" w:hAnsi="仿宋_GB2312" w:cs="仿宋_GB2312" w:eastAsia="仿宋_GB2312"/>
                      <w:sz w:val="21"/>
                    </w:rPr>
                    <w:t>M、L、XL、2XL、3XL、4XL，每个型号红蓝各四套</w:t>
                  </w:r>
                </w:p>
              </w:tc>
              <w:tc>
                <w:tcPr>
                  <w:tcW w:type="dxa" w:w="3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24套</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女子比赛护具</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包括护头、护胸、拳套、护裆和护具包，型号</w:t>
                  </w:r>
                  <w:r>
                    <w:rPr>
                      <w:rFonts w:ascii="仿宋_GB2312" w:hAnsi="仿宋_GB2312" w:cs="仿宋_GB2312" w:eastAsia="仿宋_GB2312"/>
                      <w:sz w:val="21"/>
                    </w:rPr>
                    <w:t>S、M、L、XL，每个型号红蓝各四套</w:t>
                  </w:r>
                </w:p>
              </w:tc>
              <w:tc>
                <w:tcPr>
                  <w:tcW w:type="dxa" w:w="329"/>
                  <w:vMerge/>
                  <w:tcBorders>
                    <w:top w:val="none" w:color="000000" w:sz="4"/>
                    <w:left w:val="single" w:color="000000" w:sz="4"/>
                    <w:bottom w:val="single" w:color="000000" w:sz="4"/>
                    <w:right w:val="single" w:color="000000" w:sz="4"/>
                  </w:tcBorders>
                </w:tcP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组合沙包架</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地毯</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宽度</w:t>
                  </w:r>
                  <w:r>
                    <w:rPr>
                      <w:rFonts w:ascii="仿宋_GB2312" w:hAnsi="仿宋_GB2312" w:cs="仿宋_GB2312" w:eastAsia="仿宋_GB2312"/>
                      <w:sz w:val="21"/>
                    </w:rPr>
                    <w:t>100CM，满足运动员上场通过</w:t>
                  </w:r>
                </w:p>
              </w:tc>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100M</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计时记分系统</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租用</w:t>
                  </w:r>
                </w:p>
              </w:tc>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有偿租用</w:t>
                  </w:r>
                </w:p>
              </w:tc>
            </w:tr>
            <w:tr>
              <w:tc>
                <w:tcPr>
                  <w:tcW w:type="dxa" w:w="1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艺术体操</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专用器材名称</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功能、规格、说明</w:t>
                  </w:r>
                </w:p>
              </w:tc>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总数</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备注</w:t>
                  </w:r>
                </w:p>
              </w:tc>
            </w:tr>
            <w:tr>
              <w:tc>
                <w:tcPr>
                  <w:tcW w:type="dxa" w:w="140"/>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艺术体操比赛地毯</w:t>
                  </w:r>
                  <w:r>
                    <w:rPr>
                      <w:rFonts w:ascii="仿宋_GB2312" w:hAnsi="仿宋_GB2312" w:cs="仿宋_GB2312" w:eastAsia="仿宋_GB2312"/>
                      <w:sz w:val="21"/>
                    </w:rPr>
                    <w:t>2块</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通过国际体操联合会认证</w:t>
                  </w:r>
                </w:p>
              </w:tc>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3套</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比赛用音响设备</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建议提供专业音响设备；有音响操控台、功放、地面音响</w:t>
                  </w:r>
                  <w:r>
                    <w:rPr>
                      <w:rFonts w:ascii="仿宋_GB2312" w:hAnsi="仿宋_GB2312" w:cs="仿宋_GB2312" w:eastAsia="仿宋_GB2312"/>
                      <w:sz w:val="21"/>
                    </w:rPr>
                    <w:t>;音响系统连接线与主席台放音电脑连接</w:t>
                  </w:r>
                </w:p>
              </w:tc>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体操</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专用器材名称</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功能、规格、说明</w:t>
                  </w:r>
                </w:p>
              </w:tc>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总数</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男子方山羊含落地垫</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通过国际体操联合会认证</w:t>
                  </w:r>
                  <w:r>
                    <w:rPr>
                      <w:rFonts w:ascii="仿宋_GB2312" w:hAnsi="仿宋_GB2312" w:cs="仿宋_GB2312" w:eastAsia="仿宋_GB2312"/>
                      <w:sz w:val="21"/>
                    </w:rPr>
                    <w:t xml:space="preserve">  </w:t>
                  </w:r>
                </w:p>
              </w:tc>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男子可升降单杠含落地垫</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通过国际体操联合会认证</w:t>
                  </w:r>
                  <w:r>
                    <w:rPr>
                      <w:rFonts w:ascii="仿宋_GB2312" w:hAnsi="仿宋_GB2312" w:cs="仿宋_GB2312" w:eastAsia="仿宋_GB2312"/>
                      <w:sz w:val="21"/>
                    </w:rPr>
                    <w:t xml:space="preserve">  </w:t>
                  </w:r>
                </w:p>
              </w:tc>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踏板（硬）</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通过国际体操联合会认证</w:t>
                  </w:r>
                  <w:r>
                    <w:rPr>
                      <w:rFonts w:ascii="仿宋_GB2312" w:hAnsi="仿宋_GB2312" w:cs="仿宋_GB2312" w:eastAsia="仿宋_GB2312"/>
                      <w:sz w:val="21"/>
                    </w:rPr>
                    <w:t xml:space="preserve">  </w:t>
                  </w:r>
                </w:p>
              </w:tc>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6块</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踏板（软）</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通过国际体操联合会认证</w:t>
                  </w:r>
                  <w:r>
                    <w:rPr>
                      <w:rFonts w:ascii="仿宋_GB2312" w:hAnsi="仿宋_GB2312" w:cs="仿宋_GB2312" w:eastAsia="仿宋_GB2312"/>
                      <w:sz w:val="21"/>
                    </w:rPr>
                    <w:t xml:space="preserve">  </w:t>
                  </w:r>
                </w:p>
              </w:tc>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6块</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U型踏板保护垫</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120*100*20（±5）（cm）</w:t>
                  </w:r>
                </w:p>
              </w:tc>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1块</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撑手垫（跳马）</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120*98*3（±5）（cm）</w:t>
                  </w:r>
                </w:p>
              </w:tc>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1块</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器械墩</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50*50*50（±30）（cm）</w:t>
                  </w:r>
                </w:p>
              </w:tc>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10个</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比赛高台</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裁判台含地面共</w:t>
                  </w:r>
                  <w:r>
                    <w:rPr>
                      <w:rFonts w:ascii="仿宋_GB2312" w:hAnsi="仿宋_GB2312" w:cs="仿宋_GB2312" w:eastAsia="仿宋_GB2312"/>
                      <w:sz w:val="21"/>
                    </w:rPr>
                    <w:t>2层（改为1层），每层长约8-12米（改为12米）、宽约2米、高约0.5米（改为1米）；地毯包裹、有踏步</w:t>
                  </w:r>
                </w:p>
              </w:tc>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音响系统</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专业放音设备（可用体育馆、也可布置）</w:t>
                  </w:r>
                </w:p>
              </w:tc>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硬海绵包</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4*2*0.2（m）</w:t>
                  </w:r>
                </w:p>
              </w:tc>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20块</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软海绵包</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4*2*0.2（m）</w:t>
                  </w:r>
                </w:p>
              </w:tc>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20块</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男女备用落地垫</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4*2*0.2（m）、2*2*0.2（m）</w:t>
                  </w:r>
                </w:p>
              </w:tc>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各</w:t>
                  </w:r>
                  <w:r>
                    <w:rPr>
                      <w:rFonts w:ascii="仿宋_GB2312" w:hAnsi="仿宋_GB2312" w:cs="仿宋_GB2312" w:eastAsia="仿宋_GB2312"/>
                      <w:sz w:val="21"/>
                    </w:rPr>
                    <w:t>10块</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体操全旋器（</w:t>
                  </w:r>
                  <w:r>
                    <w:rPr>
                      <w:rFonts w:ascii="仿宋_GB2312" w:hAnsi="仿宋_GB2312" w:cs="仿宋_GB2312" w:eastAsia="仿宋_GB2312"/>
                      <w:sz w:val="21"/>
                    </w:rPr>
                    <w:t>核心产品</w:t>
                  </w:r>
                  <w:r>
                    <w:rPr>
                      <w:rFonts w:ascii="仿宋_GB2312" w:hAnsi="仿宋_GB2312" w:cs="仿宋_GB2312" w:eastAsia="仿宋_GB2312"/>
                      <w:sz w:val="21"/>
                    </w:rPr>
                    <w:t>）</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1）蘑菇头（上盖）</w:t>
                  </w:r>
                  <w:r>
                    <w:br/>
                  </w:r>
                  <w:r>
                    <w:rPr>
                      <w:rFonts w:ascii="仿宋_GB2312" w:hAnsi="仿宋_GB2312" w:cs="仿宋_GB2312" w:eastAsia="仿宋_GB2312"/>
                      <w:sz w:val="21"/>
                    </w:rPr>
                    <w:t>直径：</w:t>
                  </w:r>
                  <w:r>
                    <w:rPr>
                      <w:rFonts w:ascii="仿宋_GB2312" w:hAnsi="仿宋_GB2312" w:cs="仿宋_GB2312" w:eastAsia="仿宋_GB2312"/>
                      <w:sz w:val="21"/>
                    </w:rPr>
                    <w:t>600 mm（±5 mm）</w:t>
                  </w:r>
                  <w:r>
                    <w:br/>
                  </w:r>
                  <w:r>
                    <w:rPr>
                      <w:rFonts w:ascii="仿宋_GB2312" w:hAnsi="仿宋_GB2312" w:cs="仿宋_GB2312" w:eastAsia="仿宋_GB2312"/>
                      <w:sz w:val="21"/>
                    </w:rPr>
                    <w:t>高度（弧顶）：</w:t>
                  </w:r>
                  <w:r>
                    <w:rPr>
                      <w:rFonts w:ascii="仿宋_GB2312" w:hAnsi="仿宋_GB2312" w:cs="仿宋_GB2312" w:eastAsia="仿宋_GB2312"/>
                      <w:sz w:val="21"/>
                    </w:rPr>
                    <w:t>220–230 mm</w:t>
                  </w:r>
                  <w:r>
                    <w:br/>
                  </w:r>
                  <w:r>
                    <w:rPr>
                      <w:rFonts w:ascii="仿宋_GB2312" w:hAnsi="仿宋_GB2312" w:cs="仿宋_GB2312" w:eastAsia="仿宋_GB2312"/>
                      <w:sz w:val="21"/>
                    </w:rPr>
                    <w:t>材质：</w:t>
                  </w:r>
                  <w:r>
                    <w:rPr>
                      <w:rFonts w:ascii="仿宋_GB2312" w:hAnsi="仿宋_GB2312" w:cs="仿宋_GB2312" w:eastAsia="仿宋_GB2312"/>
                      <w:sz w:val="21"/>
                    </w:rPr>
                    <w:t>PU发泡+高强度硬木芯，外包防滑耐磨体操专用皮革（仿鞍马面）</w:t>
                  </w:r>
                  <w:r>
                    <w:br/>
                  </w:r>
                  <w:r>
                    <w:rPr>
                      <w:rFonts w:ascii="仿宋_GB2312" w:hAnsi="仿宋_GB2312" w:cs="仿宋_GB2312" w:eastAsia="仿宋_GB2312"/>
                      <w:sz w:val="21"/>
                    </w:rPr>
                    <w:t>形状：半球形</w:t>
                  </w:r>
                  <w:r>
                    <w:rPr>
                      <w:rFonts w:ascii="仿宋_GB2312" w:hAnsi="仿宋_GB2312" w:cs="仿宋_GB2312" w:eastAsia="仿宋_GB2312"/>
                      <w:sz w:val="21"/>
                    </w:rPr>
                    <w:t>/微扁圆，边缘圆角R≥15 mm</w:t>
                  </w:r>
                  <w:r>
                    <w:br/>
                  </w:r>
                  <w:r>
                    <w:rPr>
                      <w:rFonts w:ascii="仿宋_GB2312" w:hAnsi="仿宋_GB2312" w:cs="仿宋_GB2312" w:eastAsia="仿宋_GB2312"/>
                      <w:sz w:val="21"/>
                    </w:rPr>
                    <w:t>2）总高（地面到弧顶）</w:t>
                  </w:r>
                  <w:r>
                    <w:br/>
                  </w:r>
                  <w:r>
                    <w:rPr>
                      <w:rFonts w:ascii="仿宋_GB2312" w:hAnsi="仿宋_GB2312" w:cs="仿宋_GB2312" w:eastAsia="仿宋_GB2312"/>
                      <w:sz w:val="21"/>
                    </w:rPr>
                    <w:t>标准：</w:t>
                  </w:r>
                  <w:r>
                    <w:rPr>
                      <w:rFonts w:ascii="仿宋_GB2312" w:hAnsi="仿宋_GB2312" w:cs="仿宋_GB2312" w:eastAsia="仿宋_GB2312"/>
                      <w:sz w:val="21"/>
                    </w:rPr>
                    <w:t>570 mm（±10 mm）</w:t>
                  </w:r>
                  <w:r>
                    <w:br/>
                  </w:r>
                  <w:r>
                    <w:rPr>
                      <w:rFonts w:ascii="仿宋_GB2312" w:hAnsi="仿宋_GB2312" w:cs="仿宋_GB2312" w:eastAsia="仿宋_GB2312"/>
                      <w:sz w:val="21"/>
                    </w:rPr>
                    <w:t>可调范围（比赛</w:t>
                  </w:r>
                  <w:r>
                    <w:rPr>
                      <w:rFonts w:ascii="仿宋_GB2312" w:hAnsi="仿宋_GB2312" w:cs="仿宋_GB2312" w:eastAsia="仿宋_GB2312"/>
                      <w:sz w:val="21"/>
                    </w:rPr>
                    <w:t>/训练两用）：500–700 mm，50 mm一挡锁止</w:t>
                  </w:r>
                  <w:r>
                    <w:br/>
                  </w:r>
                  <w:r>
                    <w:rPr>
                      <w:rFonts w:ascii="仿宋_GB2312" w:hAnsi="仿宋_GB2312" w:cs="仿宋_GB2312" w:eastAsia="仿宋_GB2312"/>
                      <w:sz w:val="21"/>
                    </w:rPr>
                    <w:t>3）底座与旋转系统</w:t>
                  </w:r>
                  <w:r>
                    <w:br/>
                  </w:r>
                  <w:r>
                    <w:rPr>
                      <w:rFonts w:ascii="仿宋_GB2312" w:hAnsi="仿宋_GB2312" w:cs="仿宋_GB2312" w:eastAsia="仿宋_GB2312"/>
                      <w:sz w:val="21"/>
                    </w:rPr>
                    <w:t>底座直径：</w:t>
                  </w:r>
                  <w:r>
                    <w:rPr>
                      <w:rFonts w:ascii="仿宋_GB2312" w:hAnsi="仿宋_GB2312" w:cs="仿宋_GB2312" w:eastAsia="仿宋_GB2312"/>
                      <w:sz w:val="21"/>
                    </w:rPr>
                    <w:t>≥650 mm，铸铁/实木配重≥40 kg，防倾倒</w:t>
                  </w:r>
                  <w:r>
                    <w:br/>
                  </w:r>
                  <w:r>
                    <w:rPr>
                      <w:rFonts w:ascii="仿宋_GB2312" w:hAnsi="仿宋_GB2312" w:cs="仿宋_GB2312" w:eastAsia="仿宋_GB2312"/>
                      <w:sz w:val="21"/>
                    </w:rPr>
                    <w:t>旋转：精密轴承</w:t>
                  </w:r>
                  <w:r>
                    <w:rPr>
                      <w:rFonts w:ascii="仿宋_GB2312" w:hAnsi="仿宋_GB2312" w:cs="仿宋_GB2312" w:eastAsia="仿宋_GB2312"/>
                      <w:sz w:val="21"/>
                    </w:rPr>
                    <w:t>+360°自由旋转，阻尼可调，转动顺滑无卡顿、无明显晃动</w:t>
                  </w:r>
                  <w:r>
                    <w:br/>
                  </w:r>
                  <w:r>
                    <w:rPr>
                      <w:rFonts w:ascii="仿宋_GB2312" w:hAnsi="仿宋_GB2312" w:cs="仿宋_GB2312" w:eastAsia="仿宋_GB2312"/>
                      <w:sz w:val="21"/>
                    </w:rPr>
                    <w:t>支撑腿：</w:t>
                  </w:r>
                  <w:r>
                    <w:rPr>
                      <w:rFonts w:ascii="仿宋_GB2312" w:hAnsi="仿宋_GB2312" w:cs="仿宋_GB2312" w:eastAsia="仿宋_GB2312"/>
                      <w:sz w:val="21"/>
                    </w:rPr>
                    <w:t>4爪/十字型钢架，脚垫防滑橡胶</w:t>
                  </w:r>
                  <w:r>
                    <w:br/>
                  </w:r>
                  <w:r>
                    <w:rPr>
                      <w:rFonts w:ascii="仿宋_GB2312" w:hAnsi="仿宋_GB2312" w:cs="仿宋_GB2312" w:eastAsia="仿宋_GB2312"/>
                      <w:sz w:val="21"/>
                    </w:rPr>
                    <w:t>4）单环（可选，比赛常用）</w:t>
                  </w:r>
                  <w:r>
                    <w:br/>
                  </w:r>
                  <w:r>
                    <w:rPr>
                      <w:rFonts w:ascii="仿宋_GB2312" w:hAnsi="仿宋_GB2312" w:cs="仿宋_GB2312" w:eastAsia="仿宋_GB2312"/>
                      <w:sz w:val="21"/>
                    </w:rPr>
                    <w:t>环高：</w:t>
                  </w:r>
                  <w:r>
                    <w:rPr>
                      <w:rFonts w:ascii="仿宋_GB2312" w:hAnsi="仿宋_GB2312" w:cs="仿宋_GB2312" w:eastAsia="仿宋_GB2312"/>
                      <w:sz w:val="21"/>
                    </w:rPr>
                    <w:t>120 mm（±3 mm）</w:t>
                  </w:r>
                  <w:r>
                    <w:br/>
                  </w:r>
                  <w:r>
                    <w:rPr>
                      <w:rFonts w:ascii="仿宋_GB2312" w:hAnsi="仿宋_GB2312" w:cs="仿宋_GB2312" w:eastAsia="仿宋_GB2312"/>
                      <w:sz w:val="21"/>
                    </w:rPr>
                    <w:t>环径：</w:t>
                  </w:r>
                  <w:r>
                    <w:rPr>
                      <w:rFonts w:ascii="仿宋_GB2312" w:hAnsi="仿宋_GB2312" w:cs="仿宋_GB2312" w:eastAsia="仿宋_GB2312"/>
                      <w:sz w:val="21"/>
                    </w:rPr>
                    <w:t>34 mm（握把直径，同鞍马）</w:t>
                  </w:r>
                  <w:r>
                    <w:br/>
                  </w:r>
                  <w:r>
                    <w:rPr>
                      <w:rFonts w:ascii="仿宋_GB2312" w:hAnsi="仿宋_GB2312" w:cs="仿宋_GB2312" w:eastAsia="仿宋_GB2312"/>
                      <w:sz w:val="21"/>
                    </w:rPr>
                    <w:t>材质：硬质工程塑料</w:t>
                  </w:r>
                  <w:r>
                    <w:rPr>
                      <w:rFonts w:ascii="仿宋_GB2312" w:hAnsi="仿宋_GB2312" w:cs="仿宋_GB2312" w:eastAsia="仿宋_GB2312"/>
                      <w:sz w:val="21"/>
                    </w:rPr>
                    <w:t>/实木包胶，固定在蘑菇头中心</w:t>
                  </w:r>
                </w:p>
              </w:tc>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2个</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门球</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专用器材名称</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功能、规格、说明</w:t>
                  </w:r>
                </w:p>
              </w:tc>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总数</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备注</w:t>
                  </w:r>
                </w:p>
              </w:tc>
            </w:tr>
            <w:tr>
              <w:tc>
                <w:tcPr>
                  <w:tcW w:type="dxa" w:w="140"/>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门球</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磨砂</w:t>
                  </w:r>
                </w:p>
              </w:tc>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记分牌</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标准</w:t>
                  </w:r>
                </w:p>
              </w:tc>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计时器</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比赛专用</w:t>
                  </w:r>
                </w:p>
              </w:tc>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三门中柱</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门球场地</w:t>
                  </w:r>
                </w:p>
              </w:tc>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袖标</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裁判</w:t>
                  </w:r>
                  <w:r>
                    <w:rPr>
                      <w:rFonts w:ascii="仿宋_GB2312" w:hAnsi="仿宋_GB2312" w:cs="仿宋_GB2312" w:eastAsia="仿宋_GB2312"/>
                      <w:sz w:val="21"/>
                    </w:rPr>
                    <w:t>/工作人员</w:t>
                  </w:r>
                </w:p>
              </w:tc>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A板/检录处/成绩公告喷绘</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2*1米KT板</w:t>
                  </w:r>
                </w:p>
              </w:tc>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sz w:val="21"/>
                <w:color w:val="000000"/>
              </w:rPr>
              <w:t>注：本采购清单可由采购人根据实际需求适当调整，最终以实际配送数量，按照履约验收合格后据实结算。</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质量要求：货物（产品）制造商、经销代理商应严格遵守《中华人民共和国产品质量法》，确保提供的产品符合质量标准，达到合格产品的要求。可能危及人体健康和人身、财产安全的工业产品，必须符合保障人体健康和人身、财产安全的国家标准、行业标准；未制定国家标准、行业标准的，必须符合保障人体健康和人身、财产安全的要求。</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自合同签订之日起7日内到货并安装调试完成。</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自合同签订之日起7日内到货并安装调试完成。</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进度款，合同签订后，乙方应开具增值税发票，达到付款条件起15个工作日内，支付合同总金额的40.0%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进度款，全部货物交付、安装调试并验收合格后，达到付款条件起15个工作日内，支付合同总金额的60.0%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进度款，合同签订后，乙方应开具增值税发票，达到付款条件起15个工作日内，支付合同总金额的40.0%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进度款，全部货物交付、安装调试并验收合格后，达到付款条件起15个工作日内，支付合同总金额的60.0%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3.4.6.1包装要求：①全部货物（产品）均应按照国家、行业规定的标准和保护措施进行包装，该包装应适应于远距离运输、防潮、防震、防锈和防野蛮装卸，以确保货物安全运抵指定地点。②当包装使用塑料、纸质、木材等包装材料时，除应当按照国家、行业规定的包装标准进行包装外，还需按照《商品包装政府采购需求标准（试行）》（财办库[2020]）123号）规定的环保要求进行包装。③当采用快递交货方式时，快递包装除应当按照国家、行业规定的包装标准进行包装外，还需按照《快递包装政府采购需求标准（试行）》（财办库[2020]）123号）规定的环保要求进行包装。3.4.6.2运输要求：采用公路或铁路运输方式，选择风险小、运费低和运距短的运输路线。运杂费一次性包死在总价内，采购人不再额外支付，包括从生产厂家到使用（安装）现场的包装、装载、运输、卸载、现场保管、二次倒运等费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3.4.6.1包装要求：①全部货物（产品）均应按照国家、行业规定的标准和保护措施进行包装，该包装应适应于远距离运输、防潮、防震、防锈和防野蛮装卸，以确保货物安全运抵指定地点。②当包装使用塑料、纸质、木材等包装材料时，除应当按照国家、行业规定的包装标准进行包装外，还需按照《商品包装政府采购需求标准（试行）》（财办库[2020]）123号）规定的环保要求进行包装。③当采用快递交货方式时，快递包装除应当按照国家、行业规定的包装标准进行包装外，还需按照《快递包装政府采购需求标准（试行）》（财办库[2020]）123号）规定的环保要求进行包装。3.4.6.2运输要求：采用公路或铁路运输方式，选择风险小、运费低和运距短的运输路线。运杂费一次性包死在总价内，采购人不再额外支付，包括从生产厂家到使用（安装）现场的包装、装载、运输、卸载、现场保管、二次倒运等费用。</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要求：货物（产品）的质保期≥1年(消耗品除外）。中标人承诺超过招标文件要求的，按其承诺的质保期进行质保。（2）产品“三包”要求：货物（产品）属于国家规定的“三包产品”，产品制造商、经销代理商应遵守“三包”的规定，在产品发生质量问题时，及时对所提供产品实行“包退、包换、保修”服务。（3）电子电器产品服务要求：货物（产品）属于电子电器的，产品制造商、经销代理商应按照《政府采购电子电器服务规范》（GB/T 33496-2017）的要求提供服务。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质保期要求：货物（产品）的质保期≥1年(消耗品除外）。中标人承诺超过招标文件要求的，按其承诺的质保期进行质保。(2)产品“三包”要求：货物（产品）属于国家规定的“三包产品”，产品制造商、经销代理商应遵守“三包”的规定，在产品发生质量问题时，及时对所提供产品实行“包退、包换、保修”服务。(3)电子电器产品服务要求：货物（产品）属于电子电器的，产品制造商、经销代理商应按照《政府采购电子电器服务规范》（GB/T 33496-2017）的要求提供服务。</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1.因系统格式原因，价格扣除中的适用对象应为：投标人提供的货物全部为小微企业制造的，给予投标报价扣除优惠政策，只要有大中型企业制造货物情形的，就不得享受价格扣除优惠政策。 2.本项目所属行业为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注意：投标人在填写《中小企业声明函》时标的名称应按采购清单对应的产品名称一一列示。） 3.为保障政府采购电子化交易平台项目实施，投标人需要在线提交所有通过电子化交易平台实施的政府采购项目的投标文件，中标单位在中标（成交）结果公示期结束后须向采购人及代理机构提交纸质版投标文件正本1套、副本2套、电子版(U盘1份）。纸质投标文件应与电子投标文件保持一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资格证明：企业投标的提供营业执照；事业单位投标的提供事业单位法人证书；其他组织投标的提供登记证书；个体工商户投标的提供个体工商户营业执照；自然人投标的提供身份证。（2）法定代表人或授权代表身份证明：法定代表人（负责人）参加投标的提供法定代表人（负责人）身份证明及身份证；授权代表参加投标的提供授权委托书及授权代表身份证。（3）税收缴纳证明：投标人自投标前1年内已缴纳任意时段、任意税种凭证或税务机关开具的完税证明；依法免税的应提供相关文件证明。（4）社保资金缴纳证明：投标人自投标前1年内已缴存的任意时段的社会保障资金缴存单据或社保机构开具的社会保险参保缴费情况证明；依法不需要缴纳社会保障资金的应提供相关文件证明。（5）投标人具备履行合同所必需的设备和专业技术能力承诺书。（6）投标声明书：投标人参加本次采购活动3年内，在经营活动中没有重大违法记录以及未被列入失信被执行人、重大税收违法案件当事人名单、政府采购严重违法失信行为记录名单的书面声明。投标人需在项目电子化交易系统中按要求填写《投标函》完成承诺后，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投标人2024年或2025年度经审计的财务报告（包括“四表一注”即《资产负债表》《利润表》《现金流量表》《所有者权益变动表》及其附注)或者提供投标文件递交截止时间6个月内其基本存款账户开户银行出具的资信证明；投标人成立不到1年的，可提供企业任意时段的资产负债表；投标人为公益类事业单位或者自然人的无需提供。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资格证明：企业投标的提供营业执照；事业单位投标的提供事业单位法人证书；其他组织投标的提供登记证书；个体工商户投标的提供个体工商户营业执照；自然人投标的提供身份证。（2）法定代表人或授权代表身份证明：法定代表人（负责人）参加投标的提供法定代表人（负责人）身份证明及身份证；授权代表参加投标的提供授权委托书及授权代表身份证。（3）税收缴纳证明：投标人自投标前1年内已缴纳任意时段、任意税种凭证或税务机关开具的完税证明；依法免税的应提供相关文件证明。（4）社保资金缴纳证明：投标人自投标前1年内已缴存的任意时段的社会保障资金缴存单据或社保机构开具的社会保险参保缴费情况证明；依法不需要缴纳社会保障资金的应提供相关文件证明。（5）投标人具备履行合同所必需的设备和专业技术能力承诺书。（6）投标声明书：投标人参加本次采购活动3年内，在经营活动中没有重大违法记录以及未被列入失信被执行人、重大税收违法案件当事人名单、政府采购严重违法失信行为记录名单的书面声明。投标人需在项目电子化交易系统中按要求填写《投标函》完成承诺后，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投标人2024年或2025年度经审计的财务报告（包括“四表一注”即《资产负债表》《利润表》《现金流量表》《所有者权益变动表》及其附注)或者提供投标文件递交截止时间6个月内其基本存款账户开户银行出具的资信证明；投标人成立不到1年的，可提供企业任意时段的资产负债表；投标人为公益类事业单位或者自然人的无需提供。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分项报价明细表.docx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按招标文件要求签署、盖章</w:t>
            </w:r>
          </w:p>
        </w:tc>
        <w:tc>
          <w:tcPr>
            <w:tcW w:type="dxa" w:w="1661"/>
          </w:tcPr>
          <w:p>
            <w:pPr>
              <w:pStyle w:val="null3"/>
            </w:pPr>
            <w:r>
              <w:rPr>
                <w:rFonts w:ascii="仿宋_GB2312" w:hAnsi="仿宋_GB2312" w:cs="仿宋_GB2312" w:eastAsia="仿宋_GB2312"/>
              </w:rPr>
              <w:t>开标一览表 投标方案.docx 本国产品说明 中小企业声明函 分项报价明细表.docx 商务条款响应偏离表.docx 技术参数响应及偏离表.docx 中国境内生产的组件成本核算基本规则 节能产品、环境标志产品明细表.docx 投标函 残疾人福利性单位声明函 标的清单 关于符合本国产品标准的声明函 投标文件封面 资格证明材料.docx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只能有一个有效报价，不得提交选择性报价，且投标报价不超过招标文件规定的采购预算或最高限价</w:t>
            </w:r>
          </w:p>
        </w:tc>
        <w:tc>
          <w:tcPr>
            <w:tcW w:type="dxa" w:w="1661"/>
          </w:tcPr>
          <w:p>
            <w:pPr>
              <w:pStyle w:val="null3"/>
            </w:pPr>
            <w:r>
              <w:rPr>
                <w:rFonts w:ascii="仿宋_GB2312" w:hAnsi="仿宋_GB2312" w:cs="仿宋_GB2312" w:eastAsia="仿宋_GB2312"/>
              </w:rPr>
              <w:t>开标一览表 分项报价明细表.docx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符合招标文件第三章规定的产品标的</w:t>
            </w:r>
          </w:p>
        </w:tc>
        <w:tc>
          <w:tcPr>
            <w:tcW w:type="dxa" w:w="1661"/>
          </w:tcPr>
          <w:p>
            <w:pPr>
              <w:pStyle w:val="null3"/>
            </w:pPr>
            <w:r>
              <w:rPr>
                <w:rFonts w:ascii="仿宋_GB2312" w:hAnsi="仿宋_GB2312" w:cs="仿宋_GB2312" w:eastAsia="仿宋_GB2312"/>
              </w:rPr>
              <w:t>分项报价明细表.docx 标的清单 技术参数响应及偏离表.docx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符合招标文件实质性要求的规定</w:t>
            </w:r>
          </w:p>
        </w:tc>
        <w:tc>
          <w:tcPr>
            <w:tcW w:type="dxa" w:w="1661"/>
          </w:tcPr>
          <w:p>
            <w:pPr>
              <w:pStyle w:val="null3"/>
            </w:pPr>
            <w:r>
              <w:rPr>
                <w:rFonts w:ascii="仿宋_GB2312" w:hAnsi="仿宋_GB2312" w:cs="仿宋_GB2312" w:eastAsia="仿宋_GB2312"/>
              </w:rPr>
              <w:t>开标一览表 投标函 分项报价明细表.docx 标的清单 商务条款响应偏离表.docx 技术参数响应及偏离表.docx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交货期、质保期、投标文件有效期</w:t>
            </w:r>
          </w:p>
        </w:tc>
        <w:tc>
          <w:tcPr>
            <w:tcW w:type="dxa" w:w="3322"/>
          </w:tcPr>
          <w:p>
            <w:pPr>
              <w:pStyle w:val="null3"/>
            </w:pPr>
            <w:r>
              <w:rPr>
                <w:rFonts w:ascii="仿宋_GB2312" w:hAnsi="仿宋_GB2312" w:cs="仿宋_GB2312" w:eastAsia="仿宋_GB2312"/>
              </w:rPr>
              <w:t>符合招标文件的规定</w:t>
            </w:r>
          </w:p>
        </w:tc>
        <w:tc>
          <w:tcPr>
            <w:tcW w:type="dxa" w:w="1661"/>
          </w:tcPr>
          <w:p>
            <w:pPr>
              <w:pStyle w:val="null3"/>
            </w:pPr>
            <w:r>
              <w:rPr>
                <w:rFonts w:ascii="仿宋_GB2312" w:hAnsi="仿宋_GB2312" w:cs="仿宋_GB2312" w:eastAsia="仿宋_GB2312"/>
              </w:rPr>
              <w:t>投标函 标的清单 商务条款响应偏离表.docx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投标文件未含有采购人不能接受的附加条件</w:t>
            </w:r>
          </w:p>
        </w:tc>
        <w:tc>
          <w:tcPr>
            <w:tcW w:type="dxa" w:w="1661"/>
          </w:tcPr>
          <w:p>
            <w:pPr>
              <w:pStyle w:val="null3"/>
            </w:pPr>
            <w:r>
              <w:rPr>
                <w:rFonts w:ascii="仿宋_GB2312" w:hAnsi="仿宋_GB2312" w:cs="仿宋_GB2312" w:eastAsia="仿宋_GB2312"/>
              </w:rPr>
              <w:t>投标方案.docx 商务条款响应偏离表.docx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分项报价明细表.docx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按招标文件要求签署、盖章</w:t>
            </w:r>
          </w:p>
        </w:tc>
        <w:tc>
          <w:tcPr>
            <w:tcW w:type="dxa" w:w="1661"/>
          </w:tcPr>
          <w:p>
            <w:pPr>
              <w:pStyle w:val="null3"/>
            </w:pPr>
            <w:r>
              <w:rPr>
                <w:rFonts w:ascii="仿宋_GB2312" w:hAnsi="仿宋_GB2312" w:cs="仿宋_GB2312" w:eastAsia="仿宋_GB2312"/>
              </w:rPr>
              <w:t>开标一览表 投标方案.docx 本国产品说明 中小企业声明函 分项报价明细表.docx 商务条款响应偏离表.docx 技术参数响应及偏离表.docx 中国境内生产的组件成本核算基本规则 节能产品、环境标志产品明细表.docx 投标函 残疾人福利性单位声明函 标的清单 关于符合本国产品标准的声明函 投标文件封面 资格证明材料.docx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只能有一个有效报价，不得提交选择性报价，且投标报价不超过招标文件规定的采购预算或最高限价</w:t>
            </w:r>
          </w:p>
        </w:tc>
        <w:tc>
          <w:tcPr>
            <w:tcW w:type="dxa" w:w="1661"/>
          </w:tcPr>
          <w:p>
            <w:pPr>
              <w:pStyle w:val="null3"/>
            </w:pPr>
            <w:r>
              <w:rPr>
                <w:rFonts w:ascii="仿宋_GB2312" w:hAnsi="仿宋_GB2312" w:cs="仿宋_GB2312" w:eastAsia="仿宋_GB2312"/>
              </w:rPr>
              <w:t>开标一览表 分项报价明细表.docx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符合招标文件第三章规定的产品标的</w:t>
            </w:r>
          </w:p>
        </w:tc>
        <w:tc>
          <w:tcPr>
            <w:tcW w:type="dxa" w:w="1661"/>
          </w:tcPr>
          <w:p>
            <w:pPr>
              <w:pStyle w:val="null3"/>
            </w:pPr>
            <w:r>
              <w:rPr>
                <w:rFonts w:ascii="仿宋_GB2312" w:hAnsi="仿宋_GB2312" w:cs="仿宋_GB2312" w:eastAsia="仿宋_GB2312"/>
              </w:rPr>
              <w:t>分项报价明细表.docx 标的清单 技术参数响应及偏离表.docx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符合招标文件实质性要求的规定</w:t>
            </w:r>
          </w:p>
        </w:tc>
        <w:tc>
          <w:tcPr>
            <w:tcW w:type="dxa" w:w="1661"/>
          </w:tcPr>
          <w:p>
            <w:pPr>
              <w:pStyle w:val="null3"/>
            </w:pPr>
            <w:r>
              <w:rPr>
                <w:rFonts w:ascii="仿宋_GB2312" w:hAnsi="仿宋_GB2312" w:cs="仿宋_GB2312" w:eastAsia="仿宋_GB2312"/>
              </w:rPr>
              <w:t>开标一览表 投标函 分项报价明细表.docx 标的清单 商务条款响应偏离表.docx 技术参数响应及偏离表.docx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交货期、质保期、投标文件有效期</w:t>
            </w:r>
          </w:p>
        </w:tc>
        <w:tc>
          <w:tcPr>
            <w:tcW w:type="dxa" w:w="3322"/>
          </w:tcPr>
          <w:p>
            <w:pPr>
              <w:pStyle w:val="null3"/>
            </w:pPr>
            <w:r>
              <w:rPr>
                <w:rFonts w:ascii="仿宋_GB2312" w:hAnsi="仿宋_GB2312" w:cs="仿宋_GB2312" w:eastAsia="仿宋_GB2312"/>
              </w:rPr>
              <w:t>符合招标文件的规定</w:t>
            </w:r>
          </w:p>
        </w:tc>
        <w:tc>
          <w:tcPr>
            <w:tcW w:type="dxa" w:w="1661"/>
          </w:tcPr>
          <w:p>
            <w:pPr>
              <w:pStyle w:val="null3"/>
            </w:pPr>
            <w:r>
              <w:rPr>
                <w:rFonts w:ascii="仿宋_GB2312" w:hAnsi="仿宋_GB2312" w:cs="仿宋_GB2312" w:eastAsia="仿宋_GB2312"/>
              </w:rPr>
              <w:t>投标函 标的清单 商务条款响应偏离表.docx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投标文件未含有采购人不能接受的附加条件</w:t>
            </w:r>
          </w:p>
        </w:tc>
        <w:tc>
          <w:tcPr>
            <w:tcW w:type="dxa" w:w="1661"/>
          </w:tcPr>
          <w:p>
            <w:pPr>
              <w:pStyle w:val="null3"/>
            </w:pPr>
            <w:r>
              <w:rPr>
                <w:rFonts w:ascii="仿宋_GB2312" w:hAnsi="仿宋_GB2312" w:cs="仿宋_GB2312" w:eastAsia="仿宋_GB2312"/>
              </w:rPr>
              <w:t>投标方案.docx 商务条款响应偏离表.docx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投标产品的技术参数进行评审，投标人应逐条对应参数要求在技术参数响应及偏离表中进行应答，并提供一种或多种的相关佐证材料（不限于检测报告、产品说明书、官网截图等）。投标产品数量准确无缺漏项，技术参数清晰明确、没有负偏离，佐证材料齐全，完全满足招标文件要求得15分；技术参数不满足或者未提供佐证材料的一项扣0.5分，扣完为止。 备注：完全复制招标文件技术参数要求的，将给予5分扣分，文字描述、国标、定制尺寸的技术指标除外。</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技术参数响应及偏离表.docx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评审内容：投标人针对本项目特点提供完整详细的实施方案，内容包含：①实施计划及进度保障②供货组织及运输配送方案③安装调试方案。 评审标准：1.完整性：内容全面，对评审内容中的各项要求有详细描述；2.可实施性：切合本项目实际情况，实施步骤清晰、合理；3.针对性：方案能够紧扣项目实际情况，内容科学合理。 赋分标准：（满分9分） ①实施计划及进度保障：此评审项满分3分，每完全满足一条评审标准得1分；针对每条评审标准，如存在不合理的方面扣0.5分；针对每条评审标准，方案内容与本项目无关或未提供的，得0分。 ②供货组织及运输配送方案：此评审项满分3分，每完全满足一条评审标准得1分；针对每条评审标准，如存在不合理的方面扣0.5分；针对每条评审标准，方案内容与本项目无关或未提供的，得0分。 ③安装调试方案：此评审项满分3分，每完全满足一条评审标准得1分；针对每条评审标准，如存在不合理的方面扣0.5分；针对每条评审标准，方案内容与本项目无关或未提供的，得0分。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一、评审内容：投标人提供投标产品供货渠道的证明材料，不限于销售协议、代理协议、供应链条完整的厂家授权等证明材料。 赋分标准：（满分3分） 1.供货渠道正规，供应充足，产地及制造商明确，产品销售记录可追溯，证明材料齐全得3分；2.供货渠道正规，供应充足，产地及制造商不明确，证明材料基本完整得2分；3.供货渠道正规，供应充足，产地及制造商不明确，证明材料缺失得1分；未提供不得分。 二、评审内容：所投产品质量符合相关标准，检验手续完善、产品检验报告、认证证书完整，设备技术先进、质量信誉安全可靠，功能齐全，成熟度高，质量安全保证措施详实，针对本项目提出具体质控方案。 评审标准：1.完整性：内容全面，对评审内容中的各项要求有详细描述；2.可实施性：切合本项目实际情况，实施步骤清晰、合理；3.针对性：方案能够紧扣项目实际情况，内容科学合理。 赋分标准：（满分6分） 此评审项满分6分，每完全满足一条评审标准得2分；针对每条评审标准，如存在不合理的方面扣1分；针对每条评审标准，方案内容与本项目无关或未提供的，得0分。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评审内容：投标人针对本项目制定应急预案，内容包括：①供货需求紧急②产品出现质量问题③供货时遇恶劣天气的应急预案等。 评审标准：1.完整性：内容全面，对评审内容中的各项要求有详细描述；2.可实施性：切合本项目实际情况，实施步骤清晰、合理；3.针对性：方案能够紧扣项目实际情况，内容科学合理。 赋分标准：（满分9分） ①供货需求紧急的应急预案：此评审项满分3分，每完全满足一条评审标准得1分；针对每条评审标准，如存在不合理的方面扣0.5分；针对每条评审标准，方案内容与本项目无关或未提供的，得0分。 ②产品出现质量问题的应急预案：此评审项满分3分，每完全满足一条评审标准得1分；针对每条评审标准，如存在不合理的方面扣0.5分；针对每条评审标准，方案内容与本项目无关或未提供的，得0分。 ③供货时遇恶劣天气的应急预案：此评审项满分3分，每完全满足一条评审标准得1分；针对每条评审标准，如存在不合理的方面扣0.5分；针对每条评审标准，方案内容与本项目无关或未提供的，得0分。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评审内容：针对此次项目提供技术培训，包括但不限于①培训体系及内容②培训方式及时间安排等。 评审标准：1.完整性：内容全面，对评审内容中的各项要求有详细描述；2.可实施性：切合本项目实际情况，实施步骤清晰、合理；3.针对性：方案能够紧扣项目实际情况，内容科学合理。 赋分标准：（满分6分） ①培训体系及内容：此评审项满分3分，每完全满足一条评审标准得1分；针对每条评审标准，如存在不合理的方面扣0.5分；针对每条评审标准，方案内容与本项目无关或未提供的，得0分。 ②培训方式及时间安排：此评审项满分3分，每完全满足一条评审标准得1分；针对每条评审标准，如存在不合理的方面扣0.5分；针对每条评审标准，方案内容与本项目无关或未提供的，得0分。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评审内容：投标人根据本项目实际需求提供售后服务方案。内容包含：①售后服务范围及承诺②售后服务响应时效及方式③售后处理及补救措施。 评审标准：1.完整性：内容全面，对评审内容中的各项要求有详细描述；2.可实施性：切合本项目实际情况，实施步骤清晰、合理；3.针对性：方案能够紧扣项目实际情况，内容科学合理。 赋分标准：（满分9分） ①售后服务范围及承诺：此评审项满分3分，每完全满足一条评审标准得1分；针对每条评审标准，如存在不合理的方面扣0.5分；针对每条评审标准，方案内容与本项目无关或未提供的，得0分。 ②售后服务响应时效及方式：此评审项满分3分，每完全满足一条评审标准得1分；针对每条评审标准，如存在不合理的方面扣0.5分；针对每条评审标准，方案内容与本项目无关或未提供的，得0分。 ③售后处理及补救措施：此评审项满分3分，每完全满足一条评审标准得1分；针对每条评审标准，如存在不合理的方面扣0.5分；针对每条评审标准，方案内容与本项目无关或未提供的，得0分。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评审内容：提供投标人自2023年1月1日起至今类似项目业绩（时间以合同签订时间为准）。 赋分标准：（满分2分） 一个业绩得1分，满分2分。投标人需提供完整的业绩合同复印件，并加盖公章，未按照要求提供不得分。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评审内容：根据投标人所投产品是否认定为节能、环境标志产品进行评审。 赋分标准：（满分1分） 每提供一个节能产品或环境标志产品认证证书得0.5分，最高得1分；既是节能产品又是环境标志产品可同时得分，属于强制采购的节能产品，不得分。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节能产品、环境标志产品明细表.docx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投标人的价格分，按照《政府采购货物和服务招标投标管理办法》（财政部令第87号）第五十五条规定执行，符合《政府采购促进中小企业发展管理办法》（财库〔2020〕46 号）或《国务院办公厅关于在政府采购中实施本国产品标准及相关政策的通知》（国办发〔2025〕34 号）优惠条件的投标人，可分别享受对应价格扣除优惠，若同时满足以上优惠政策条件，可叠加享受，采用低价优先法计算，以本次满足投标文件要求的最低投标评审价为评标基准价，其价格为满分。其他投标人的价格分，统一按照下列公式计算： 投标报价折扣幅度=中小企业发展扶持政策扣除幅度+支持本国产品优惠政策的报价扣除幅度 投标评审价=投标总报价×（1-投标总报价扣除幅度） 投标总报价得分=(评标基准价／投标评审价)×100×40%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分项报价明细表.docx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分项报价明细表.docx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分项报价明细表.docx</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投标产品的技术参数进行评审，投标人应逐条对应参数要求在技术参数响应及偏离表中进行应答，并提供一种或多种的相关佐证材料（不限于检测报告、产品说明书、官网截图等）。投标产品数量准确无缺漏项，技术参数清晰明确、没有负偏离，佐证材料齐全，完全满足招标文件要求得15分；技术参数不满足或者未提供佐证材料的一项扣0.5分，扣完为止。 备注：完全复制招标文件技术参数要求的，将给予5分扣分，文字描述、国标、定制尺寸的技术指标除外。</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技术参数响应及偏离表.docx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评审内容：投标人针对本项目特点提供完整详细的实施方案，内容包含：①实施计划及进度保障②供货组织及运输配送方案③安装调试方案。 评审标准：1.完整性：内容全面，对评审内容中的各项要求有详细描述；2.可实施性：切合本项目实际情况，实施步骤清晰、合理；3.针对性：方案能够紧扣项目实际情况，内容科学合理。 赋分标准：（满分9分） ①实施计划及进度保障：此评审项满分3分，每完全满足一条评审标准得1分；针对每条评审标准，如存在不合理的方面扣0.5分；针对每条评审标准，方案内容与本项目无关或未提供的，得0分。 ②供货组织及运输配送方案：此评审项满分3分，每完全满足一条评审标准得1分；针对每条评审标准，如存在不合理的方面扣0.5分；针对每条评审标准，方案内容与本项目无关或未提供的，得0分。 ③安装调试方案：此评审项满分3分，每完全满足一条评审标准得1分；针对每条评审标准，如存在不合理的方面扣0.5分；针对每条评审标准，方案内容与本项目无关或未提供的，得0分。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一、评审内容：投标人提供投标产品供货渠道的证明材料，不限于销售协议、代理协议、供应链条完整的厂家授权等证明材料。 赋分标准：（满分3分） 1.供货渠道正规，供应充足，产地及制造商明确，产品销售记录可追溯，证明材料齐全得3分；2.供货渠道正规，供应充足，产地及制造商不明确，证明材料基本完整得2分；3.供货渠道正规，供应充足，产地及制造商不明确，证明材料缺失得1分；未提供不得分。 二、评审内容：所投产品质量符合相关标准，检验手续完善、产品检验报告、认证证书完整，设备技术先进、质量信誉安全可靠，功能齐全，成熟度高，质量安全保证措施详实，针对本项目提出具体质控方案。 评审标准：1.完整性：内容全面，对评审内容中的各项要求有详细描述；2.可实施性：切合本项目实际情况，实施步骤清晰、合理；3.针对性：方案能够紧扣项目实际情况，内容科学合理。 赋分标准：（满分6分） 此评审项满分6分，每完全满足一条评审标准得2分；针对每条评审标准，如存在不合理的方面扣1分；针对每条评审标准，方案内容与本项目无关或未提供的，得0分。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评审内容：投标人针对本项目制定应急预案，内容包括：①供货需求紧急②产品出现质量问题③供货时遇恶劣天气的应急预案等。 评审标准：1.完整性：内容全面，对评审内容中的各项要求有详细描述；2.可实施性：切合本项目实际情况，实施步骤清晰、合理；3.针对性：方案能够紧扣项目实际情况，内容科学合理。 赋分标准：（满分9分） ①供货需求紧急的应急预案：此评审项满分3分，每完全满足一条评审标准得1分；针对每条评审标准，如存在不合理的方面扣0.5分；针对每条评审标准，方案内容与本项目无关或未提供的，得0分。 ②产品出现质量问题的应急预案：此评审项满分3分，每完全满足一条评审标准得1分；针对每条评审标准，如存在不合理的方面扣0.5分；针对每条评审标准，方案内容与本项目无关或未提供的，得0分。 ③供货时遇恶劣天气的应急预案：此评审项满分3分，每完全满足一条评审标准得1分；针对每条评审标准，如存在不合理的方面扣0.5分；针对每条评审标准，方案内容与本项目无关或未提供的，得0分。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评审内容：针对此次项目提供技术培训，包括但不限于①培训体系及内容②培训方式及时间安排等。 评审标准：1.完整性：内容全面，对评审内容中的各项要求有详细描述；2.可实施性：切合本项目实际情况，实施步骤清晰、合理；3.针对性：方案能够紧扣项目实际情况，内容科学合理。 赋分标准：（满分6分） ①培训体系及内容：此评审项满分3分，每完全满足一条评审标准得1分；针对每条评审标准，如存在不合理的方面扣0.5分；针对每条评审标准，方案内容与本项目无关或未提供的，得0分。 ②培训方式及时间安排：此评审项满分3分，每完全满足一条评审标准得1分；针对每条评审标准，如存在不合理的方面扣0.5分；针对每条评审标准，方案内容与本项目无关或未提供的，得0分。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评审内容：投标人根据本项目实际需求提供售后服务方案。内容包含：①售后服务范围及承诺②售后服务响应时效及方式③售后处理及补救措施。 评审标准：1.完整性：内容全面，对评审内容中的各项要求有详细描述；2.可实施性：切合本项目实际情况，实施步骤清晰、合理；3.针对性：方案能够紧扣项目实际情况，内容科学合理。 赋分标准：（满分9分） ①售后服务范围及承诺：此评审项满分3分，每完全满足一条评审标准得1分；针对每条评审标准，如存在不合理的方面扣0.5分；针对每条评审标准，方案内容与本项目无关或未提供的，得0分。 ②售后服务响应时效及方式：此评审项满分3分，每完全满足一条评审标准得1分；针对每条评审标准，如存在不合理的方面扣0.5分；针对每条评审标准，方案内容与本项目无关或未提供的，得0分。 ③售后处理及补救措施：此评审项满分3分，每完全满足一条评审标准得1分；针对每条评审标准，如存在不合理的方面扣0.5分；针对每条评审标准，方案内容与本项目无关或未提供的，得0分。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评审内容：提供投标人自2023年1月1日起至今类似项目业绩（时间以合同签订时间为准）。 赋分标准：（满分2分） 一个业绩得1分，满分2分。投标人需提供完整的业绩合同复印件，并加盖公章，未按照要求提供不得分。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评审内容：根据投标人所投产品是否认定为节能、环境标志产品进行评审。 赋分标准：（满分1分） 每提供一个节能产品或环境标志产品认证证书得0.5分，最高得1分；既是节能产品又是环境标志产品可同时得分，属于强制采购的节能产品，不得分。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节能产品、环境标志产品明细表.docx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投标人的价格分，按照《政府采购货物和服务招标投标管理办法》（财政部令第87号）第五十五条规定执行，符合《政府采购促进中小企业发展管理办法》（财库〔2020〕46 号）或《国务院办公厅关于在政府采购中实施本国产品标准及相关政策的通知》（国办发〔2025〕34 号）优惠条件的投标人，可分别享受对应价格扣除优惠，若同时满足以上优惠政策条件，可叠加享受，采用低价优先法计算，以本次满足投标文件要求的最低投标评审价为评标基准价，其价格为满分。其他投标人的价格分，统一按照下列公式计算： 投标报价折扣幅度=中小企业发展扶持政策扣除幅度+支持本国产品优惠政策的报价扣除幅度 投标评审价=投标总报价×（1-投标总报价扣除幅度） 投标总报价得分=(评标基准价／投标评审价)×100×40%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分项报价明细表.docx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分项报价明细表.docx</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详见附件：分项报价明细表.docx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详见附件：技术参数响应及偏离表.docx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详见附件：节能产品、环境标志产品明细表.docx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详见附件：分项报价明细表.docx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详见附件：技术参数响应及偏离表.docx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详见附件：节能产品、环境标志产品明细表.docx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详见附件：政府采购货物买卖合同.docx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 Id="rId7" Target="media/image2.png" Type="http://schemas.openxmlformats.org/officeDocument/2006/relationships/image"/><Relationship Id="rId8" Target="media/image3.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