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版本号：ZB2026-ZB012（CGB）20260515002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临潼区秦陵街道秦陵村基础设施提升项目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ZB2026-ZB012（CGB）</w:t>
      </w:r>
      <w:r>
        <w:br/>
      </w:r>
      <w:r>
        <w:br/>
      </w:r>
      <w:r>
        <w:br/>
      </w:r>
    </w:p>
    <w:p>
      <w:pPr>
        <w:pStyle w:val="null3"/>
        <w:jc w:val="center"/>
        <w:outlineLvl w:val="2"/>
      </w:pPr>
      <w:r>
        <w:rPr>
          <w:rFonts w:ascii="仿宋_GB2312" w:hAnsi="仿宋_GB2312" w:cs="仿宋_GB2312" w:eastAsia="仿宋_GB2312"/>
          <w:sz w:val="28"/>
          <w:b/>
        </w:rPr>
        <w:t>西安市临潼区秦陵街道办事处</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西安市临潼区秦陵街道办事处</w:t>
      </w:r>
      <w:r>
        <w:rPr>
          <w:rFonts w:ascii="仿宋_GB2312" w:hAnsi="仿宋_GB2312" w:cs="仿宋_GB2312" w:eastAsia="仿宋_GB2312"/>
        </w:rPr>
        <w:t>委托，拟对</w:t>
      </w:r>
      <w:r>
        <w:rPr>
          <w:rFonts w:ascii="仿宋_GB2312" w:hAnsi="仿宋_GB2312" w:cs="仿宋_GB2312" w:eastAsia="仿宋_GB2312"/>
        </w:rPr>
        <w:t>临潼区秦陵街道秦陵村基础设施提升项目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ZB2026-ZB012（CGB）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临潼区秦陵街道秦陵村基础设施提升项目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秦陵街道秦陵村基础设施提升项目，建设地点：西安市临潼区秦陵街办秦陵村，主要建设内容包括：（1）道路工程：18cm厚水泥混凝土路面2400m²，5cm厚细粒式沥青混凝土(AC-13)路面9500M²；（2）管道工程：DN300PE双壁波纹排水管518M,室外污水检查井19座，HDPE成品沉沙井114座；（3）新建广场1处，改造广场1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采购包1（临潼区秦陵街道秦陵村基础设施提升项目）：属于专门面向中小企业采购。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1、法定代表人身份证明书或法人授权委托书：法定代表人身份证明书或法人授权委托书，后附法人及被委托人身份证（法定代表人直接参加投标的，须提供法定代表人证明书）。</w:t>
      </w:r>
    </w:p>
    <w:p>
      <w:pPr>
        <w:pStyle w:val="null3"/>
      </w:pPr>
      <w:r>
        <w:rPr>
          <w:rFonts w:ascii="仿宋_GB2312" w:hAnsi="仿宋_GB2312" w:cs="仿宋_GB2312" w:eastAsia="仿宋_GB2312"/>
        </w:rPr>
        <w:t>2、资质要求：供应商须具备市政公用工程施工总承包二级及以上资质，具有有效的安全生产许可证。</w:t>
      </w:r>
    </w:p>
    <w:p>
      <w:pPr>
        <w:pStyle w:val="null3"/>
      </w:pPr>
      <w:r>
        <w:rPr>
          <w:rFonts w:ascii="仿宋_GB2312" w:hAnsi="仿宋_GB2312" w:cs="仿宋_GB2312" w:eastAsia="仿宋_GB2312"/>
        </w:rPr>
        <w:t>3、项目经理要求：拟派项目经理须具备市政公用工程二级及以上注册建造师执业资格，具有安全生产考核合格证，且在本单位注册，无在建工程。</w:t>
      </w:r>
    </w:p>
    <w:p>
      <w:pPr>
        <w:pStyle w:val="null3"/>
      </w:pPr>
      <w:r>
        <w:rPr>
          <w:rFonts w:ascii="仿宋_GB2312" w:hAnsi="仿宋_GB2312" w:cs="仿宋_GB2312" w:eastAsia="仿宋_GB2312"/>
        </w:rPr>
        <w:t>4、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6、非联合体投标声明：本项目不接受联合体投标。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西安市临潼区秦陵街道办事处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西安市临潼区秦陵北路189号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15291873016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宋利利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领取中标通知书时，代理服务费参照计价格【2002】1980号及发改价格【2011】534号文件规定标准计算；工程量清单及招标控制价编制费率参照陕价行发【2014】88号取费标准计算，向“西安梓搏咨询管理有限公司”交纳。户 名：西安梓搏咨询管理有限公司 开户行：工商银行西安临潼区支行 账 号：3700 1733 092 0000 1856</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西安市临潼区秦陵街道办事处</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西安市临潼区秦陵街道办事处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西安市临潼区秦陵街道办事处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联系人：宋利利</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1,998,563.71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临潼区秦陵街道秦陵村基础设施提升项目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标的名称：临潼区秦陵街道秦陵村基础设施提升项目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工程内容：</w:t>
            </w:r>
            <w:r>
              <w:rPr>
                <w:rFonts w:ascii="仿宋_GB2312" w:hAnsi="仿宋_GB2312" w:cs="仿宋_GB2312" w:eastAsia="仿宋_GB2312"/>
                <w:sz w:val="24"/>
                <w:color w:val="000000"/>
              </w:rPr>
              <w:t>（</w:t>
            </w:r>
            <w:r>
              <w:rPr>
                <w:rFonts w:ascii="仿宋_GB2312" w:hAnsi="仿宋_GB2312" w:cs="仿宋_GB2312" w:eastAsia="仿宋_GB2312"/>
                <w:sz w:val="24"/>
                <w:color w:val="000000"/>
              </w:rPr>
              <w:t>1）道路工程：18cm厚水泥混凝土路面2400m²，5cm厚细粒式沥青混凝土(AC-13)路面9500M²；（2）管道工程：DN300PE双壁波纹排水管518M,室外污水检查井19座，HDPE成品沉沙井114座；（3）新建广场1处，改造广场1处。</w:t>
            </w:r>
            <w:r>
              <w:rPr>
                <w:rFonts w:ascii="仿宋_GB2312" w:hAnsi="仿宋_GB2312" w:cs="仿宋_GB2312" w:eastAsia="仿宋_GB2312"/>
                <w:sz w:val="24"/>
                <w:color w:val="000000"/>
              </w:rPr>
              <w:t>具体工程内容详见工程量清单。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color w:val="000000"/>
              </w:rPr>
              <w:t>工程地点：</w:t>
            </w:r>
            <w:r>
              <w:rPr>
                <w:rFonts w:ascii="仿宋_GB2312" w:hAnsi="仿宋_GB2312" w:cs="仿宋_GB2312" w:eastAsia="仿宋_GB2312"/>
                <w:sz w:val="24"/>
                <w:color w:val="000000"/>
              </w:rPr>
              <w:t>西安市临潼区</w:t>
            </w:r>
            <w:r>
              <w:rPr>
                <w:rFonts w:ascii="仿宋_GB2312" w:hAnsi="仿宋_GB2312" w:cs="仿宋_GB2312" w:eastAsia="仿宋_GB2312"/>
                <w:sz w:val="24"/>
                <w:color w:val="000000"/>
              </w:rPr>
              <w:t>秦陵街办秦陵村</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计划工期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45</w:t>
            </w:r>
            <w:r>
              <w:rPr>
                <w:rFonts w:ascii="仿宋_GB2312" w:hAnsi="仿宋_GB2312" w:cs="仿宋_GB2312" w:eastAsia="仿宋_GB2312"/>
                <w:sz w:val="24"/>
                <w:color w:val="000000"/>
              </w:rPr>
              <w:t>日历</w:t>
            </w:r>
            <w:r>
              <w:rPr>
                <w:rFonts w:ascii="仿宋_GB2312" w:hAnsi="仿宋_GB2312" w:cs="仿宋_GB2312" w:eastAsia="仿宋_GB2312"/>
                <w:sz w:val="24"/>
                <w:color w:val="000000"/>
              </w:rPr>
              <w:t>天</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质量要求：符合国家现行有关施工质量验收规范</w:t>
            </w:r>
            <w:r>
              <w:rPr>
                <w:rFonts w:ascii="仿宋_GB2312" w:hAnsi="仿宋_GB2312" w:cs="仿宋_GB2312" w:eastAsia="仿宋_GB2312"/>
                <w:sz w:val="24"/>
                <w:color w:val="000000"/>
              </w:rPr>
              <w:t>“合格”要求。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b/>
                <w:color w:val="000000"/>
              </w:rPr>
              <w:t xml:space="preserve">  付款要求：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合同签订且开工后</w:t>
            </w:r>
            <w:r>
              <w:rPr>
                <w:rFonts w:ascii="仿宋_GB2312" w:hAnsi="仿宋_GB2312" w:cs="仿宋_GB2312" w:eastAsia="仿宋_GB2312"/>
                <w:sz w:val="24"/>
                <w:color w:val="000000"/>
              </w:rPr>
              <w:t>，达到付款条件起</w:t>
            </w:r>
            <w:r>
              <w:rPr>
                <w:rFonts w:ascii="仿宋_GB2312" w:hAnsi="仿宋_GB2312" w:cs="仿宋_GB2312" w:eastAsia="仿宋_GB2312"/>
                <w:sz w:val="24"/>
                <w:color w:val="000000"/>
              </w:rPr>
              <w:t>10日内，支付合同总金额的30%；</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项目施工进度</w:t>
            </w:r>
            <w:r>
              <w:rPr>
                <w:rFonts w:ascii="仿宋_GB2312" w:hAnsi="仿宋_GB2312" w:cs="仿宋_GB2312" w:eastAsia="仿宋_GB2312"/>
                <w:sz w:val="24"/>
                <w:color w:val="000000"/>
              </w:rPr>
              <w:t>全部完成，达到付款条件起</w:t>
            </w:r>
            <w:r>
              <w:rPr>
                <w:rFonts w:ascii="仿宋_GB2312" w:hAnsi="仿宋_GB2312" w:cs="仿宋_GB2312" w:eastAsia="仿宋_GB2312"/>
                <w:sz w:val="24"/>
                <w:color w:val="000000"/>
              </w:rPr>
              <w:t>15日内，支付合同总金额的50%。</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项目竣工验收合格且保洁、清场并完成工程</w:t>
            </w:r>
            <w:r>
              <w:rPr>
                <w:rFonts w:ascii="仿宋_GB2312" w:hAnsi="仿宋_GB2312" w:cs="仿宋_GB2312" w:eastAsia="仿宋_GB2312"/>
                <w:sz w:val="24"/>
                <w:color w:val="000000"/>
              </w:rPr>
              <w:t>造价</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后，达到付款条件起</w:t>
            </w:r>
            <w:r>
              <w:rPr>
                <w:rFonts w:ascii="仿宋_GB2312" w:hAnsi="仿宋_GB2312" w:cs="仿宋_GB2312" w:eastAsia="仿宋_GB2312"/>
                <w:sz w:val="24"/>
                <w:color w:val="000000"/>
              </w:rPr>
              <w:t>15日内，支付合同总金额的17%。</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质保期满无质量问题</w:t>
            </w:r>
            <w:r>
              <w:rPr>
                <w:rFonts w:ascii="仿宋_GB2312" w:hAnsi="仿宋_GB2312" w:cs="仿宋_GB2312" w:eastAsia="仿宋_GB2312"/>
                <w:sz w:val="24"/>
                <w:color w:val="000000"/>
              </w:rPr>
              <w:t>，达到付款条件起</w:t>
            </w:r>
            <w:r>
              <w:rPr>
                <w:rFonts w:ascii="仿宋_GB2312" w:hAnsi="仿宋_GB2312" w:cs="仿宋_GB2312" w:eastAsia="仿宋_GB2312"/>
                <w:sz w:val="24"/>
                <w:color w:val="000000"/>
              </w:rPr>
              <w:t>15日内，支付合同总金额的3%。</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付款方式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银行转账，乙方在接受付款前，开具相应额度发票给甲方</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计价依据：</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《陕西省建设工程费用规则（</w:t>
            </w:r>
            <w:r>
              <w:rPr>
                <w:rFonts w:ascii="仿宋_GB2312" w:hAnsi="仿宋_GB2312" w:cs="仿宋_GB2312" w:eastAsia="仿宋_GB2312"/>
                <w:sz w:val="24"/>
                <w:color w:val="000000"/>
              </w:rPr>
              <w:t>2025）》、《陕西省房屋建筑与装饰工程基价表（2025）》、《陕西省市政工程基价表（2025）》、《陕西省园林绿化工程基价表（2025）》、《陕西省通用安装工程基价表（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等计价文件配套使用</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2.陕建管发〔2025〕10号《关于印发2025陕西省建设工程费用规则等计价依据的通知》；</w:t>
            </w:r>
          </w:p>
          <w:p>
            <w:pPr>
              <w:pStyle w:val="null3"/>
              <w:ind w:firstLine="480"/>
              <w:jc w:val="left"/>
            </w:pPr>
            <w:r>
              <w:rPr>
                <w:rFonts w:ascii="仿宋_GB2312" w:hAnsi="仿宋_GB2312" w:cs="仿宋_GB2312" w:eastAsia="仿宋_GB2312"/>
                <w:sz w:val="24"/>
                <w:color w:val="000000"/>
              </w:rPr>
              <w:t>3.在本工程实施期间，政府及相关部门颁布新的规范、规则、定额、调价文件等，按照新规范、规则、定额、调价文件执行。</w:t>
            </w:r>
          </w:p>
          <w:p>
            <w:pPr>
              <w:pStyle w:val="null3"/>
              <w:ind w:firstLine="480"/>
              <w:jc w:val="left"/>
            </w:pPr>
            <w:r>
              <w:rPr>
                <w:rFonts w:ascii="仿宋_GB2312" w:hAnsi="仿宋_GB2312" w:cs="仿宋_GB2312" w:eastAsia="仿宋_GB2312"/>
                <w:sz w:val="24"/>
                <w:color w:val="000000"/>
              </w:rPr>
              <w:t>4.与本工程有关的标准文件（包括标准图集）、规范、技术资料等；</w:t>
            </w:r>
          </w:p>
          <w:p>
            <w:pPr>
              <w:pStyle w:val="null3"/>
              <w:ind w:firstLine="480"/>
              <w:jc w:val="left"/>
            </w:pPr>
            <w:r>
              <w:rPr>
                <w:rFonts w:ascii="仿宋_GB2312" w:hAnsi="仿宋_GB2312" w:cs="仿宋_GB2312" w:eastAsia="仿宋_GB2312"/>
                <w:sz w:val="24"/>
                <w:color w:val="000000"/>
              </w:rPr>
              <w:t>5.施工现场情况、工程特点及常规施工方案；</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（1）所有施工和材料所涉及的标准规范（如产品标准/规范、工程标准/规范、验收标准/规范等）须完全符合所有中华人民共和国的标准及规范。 （2）在施工期间，中标供应商必须注意人员安全，加强安全措施，并对施工人员进行安全教育。施工人员必须持证上岗。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2、本项目采购标的所属行业为：建筑业。（按照《工信部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供应商需要在线提交所有通过电子化交易平台实施的政府采购项目的响应文件，同时，线下递交纸质响应文件，正本壹份、副本壹份，电子文件壹份（U盘存储，内容包括与系统上传后导出完全一致的PDF版响应文件，工程量清单报价的广联达电子版）。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供应商应是合法注册的法人或其他组织，并出具合法有效的营业执照;（2）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3）无重大违法记录的书面声明：提供基本资格条件承诺函或参加政府采购活动前三年内，在经营活动中没有重大违法记录的书面声明；（4）履行合同能力的承诺书：提供基本资格条件承诺函或履行合同所必需的设备和专业技术能力的承诺书；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会计制度的证明材料，满足以下任意一项即可：①基本资格条件承诺函；②2024年/2025年经审计的完整财务审计报告（成立时间至开标时间不足一年的，可提供成立后任意时段的资产负债表）；③投标截止时间前六个月内其基本账户银行出具的资信证明；④可提供政府采购信用担保机构出具的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法定代表人身份证明书或法人授权委托书，后附法人及被委托人身份证（法定代表人直接参加投标的，须提供法定代表人证明书）。</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拟派项目经理须具备市政公用工程二级及以上注册建造师执业资格，具有安全生产考核合格证，且在本单位注册，无在建工程。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残疾人福利性单位声明函 报价函 标的清单 供应商类似项目业绩一览表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残疾人福利性单位声明函 报价函 标的清单 供应商类似项目业绩一览表 供应商承诺书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只能有一个有效报价，不得提交选择性报价，且报价不超出本项目投标最高限价金额。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一、评审内容：供应商针对本项目编制完整的施工方案，内容包含：①施工部署；②分部分项工程施工方法。 二、评审标准：1、完整性：方案必须全面，对评审内容中的各项要求有详细描述；2、可实施性：切合本项目实际情况，提出步骤清晰、合理的方案；3、针对性：方案能够紧扣项目实际情况，内容科学合理。 三、赋分标准（6分）： ①施工部署：每满足一项评审标准得1分，满分3分，针对每项评审标准内容存在不合理的扣0.5分，内容与本项目无关或未提供的得0分； ②分部分项工程施工方法：每满足一项评审标准得1分，满分3分，针对每项评审标准内容存在不合理的扣0.5分，内容与本项目无关或未提供的得0分。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一、评审内容：供应商针对本项目编制项目经理部组成，内容包含：①人员组织架构及管理人员配备；②人员管理制度。 二、评审标准：1、完整性：方案必须全面，对评审内容中的各项要求有详细描述；2、可实施性：针对本项目实际情况，人员数量充足、专业配备齐全，满足项目需求。 三、赋分标准（4分）： ①人员组织架构及管理人员配备：每满足一项评审标准得1分，满分2分，针对每项评审标准内容存在不合理的扣0.5分，内容与本项目无关或未提供的得0分； ②人员管理制度：每满足一项评审标准得1分，满分2分，针对每项评审标准内容存在不合理的扣0.5分，内容与本项目无关或未提供的得0分。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安全生产保障措施</w:t>
            </w:r>
          </w:p>
        </w:tc>
        <w:tc>
          <w:tcPr>
            <w:tcW w:type="dxa" w:w="2492"/>
          </w:tcPr>
          <w:p>
            <w:pPr>
              <w:pStyle w:val="null3"/>
            </w:pPr>
            <w:r>
              <w:rPr>
                <w:rFonts w:ascii="仿宋_GB2312" w:hAnsi="仿宋_GB2312" w:cs="仿宋_GB2312" w:eastAsia="仿宋_GB2312"/>
              </w:rPr>
              <w:t>一、评审内容：供应商针对本项目编制完整的安全生产保障措施，内容包含：①安全生产管理制度；②安全生产保障措施；③安全生产教育培训。 二、评审标准：1、完整性：方案必须全面，对评审内容中的各项要求有详细描述；2、可实施性：切合本项目实际情况，提出步骤清晰、合理的方案；3、针对性：方案能够紧扣项目实际情况，内容科学合理。 三、赋分标准（9分）： ①安全生产管理制度：每满足一项评审标准得1分，满分3分，针对每项评审标准内容存在不合理的扣0.5分，内容与本项目无关或未提供的得0分； ②安全生产保障措施：每满足一项评审标准得1分，满分3分，针对每项评审标准内容存在不合理的扣0.5分，内容与本项目无关或未提供的得0分。 ③安全生产教育培训：每满足一项评审标准得1分，满分3分，针对每项评审标准内容存在不合理的扣0.5分，内容与本项目无关或未提供的得0分。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一、评审内容：供应商针对本项目编制完整的工程质量保证措施，内容包含：①工程质量管理目标、体系；②工程质量管理制度；③工程质量保证措施。 二、评审标准：1、完整性：方案必须全面，对评审内容中的各项要求有详细描述；2、可实施性：切合本项目实际情况，提出步骤清晰、合理的方案；3、针对性：方案能够紧扣项目实际情况，内容科学合理。 三、赋分标准（9分）： ①工程质量管理目标、体系：每满足一项评审标准得1分，满分3分，针对每项评审标准内容存在不合理的扣0.5分，内容与本项目无关或未提供的得0分； ②工程质量管理制度：每满足一项评审标准得1分，满分3分，针对每项评审标准内容存在不合理的扣0.5分，内容与本项目无关或未提供的得0分； ③工程质量保证措施：每满足一项评审标准得1分，满分3分，针对每项评审标准内容存在不合理的扣0.5分，内容与本项目无关或未提供的得0分。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一、评审内容：供应商针对本项目编制完善的施工进度计划，内容包含：①施工进度计划横道图；②进度计划保证措施；③工期保证措施。 二、评审标准：1、完整性：方案必须全面，对评审内容中的各项要求有详细描述；2、可实施性：切合本项目实际情况，提出步骤清晰、合理的方案；3、针对性：方案能够紧扣项目实际情况，内容科学合理。 三、赋分标准（9分）： ①施工进度计划横道图：每满足一项评审标准得1分，满分3分，针对每项评审标准内容存在不合理的扣0.5分，内容与本项目无关或未提供的得0分； ②进度计划保证措施：每满足一项评审标准得1分，满分3分，针对每项评审标准内容存在不合理的扣0.5分，内容与本项目无关或未提供的得0分； ③工期保证措施：每满足一项评审标准得1分，满分3分，针对每项评审标准内容存在不合理的扣0.5分，内容与本项目无关或未提供的得0分。 备注: “不合理”指内容存在错误、表述不完善、缺少次要关键点或不完全贴合本项目特征等情形。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文明施工组织措施及环境保护措施</w:t>
            </w:r>
          </w:p>
        </w:tc>
        <w:tc>
          <w:tcPr>
            <w:tcW w:type="dxa" w:w="2492"/>
          </w:tcPr>
          <w:p>
            <w:pPr>
              <w:pStyle w:val="null3"/>
            </w:pPr>
            <w:r>
              <w:rPr>
                <w:rFonts w:ascii="仿宋_GB2312" w:hAnsi="仿宋_GB2312" w:cs="仿宋_GB2312" w:eastAsia="仿宋_GB2312"/>
              </w:rPr>
              <w:t>一、评审内容：供应商针对本项目编制完整的文明施工组织措施及环境保护措施，内容包含：①文明施工管理目标及技术措施；②文明施工现场管理；③环境保护措施。 二、评审标准：1、完整性：方案必须全面，对评审内容中的各项要求有详细描述；2、可实施性：切合本项目实际情况，提出步骤清晰、合理的方案；3、针对性：方案能够紧扣项目实际情况，内容科学合理。 三、赋分标准（9分）： ①文明施工管理目标及技术措施：每满足一项评审标准得1分，满分3分，针对每项评审标准内容存在不合理的扣0.5分，内容与本项目无关或未提供的得0分； ②文明施工现场管理：每满足一项评审标准得1分，满分3分，针对每项评审标准内容存在不合理的扣0.5分，内容与本项目无关或未提供的得0分； ③环境保护措施：每满足一项评审标准得1分，满分3分，针对每项评审标准内容存在不合理的扣0.5分，内容与本项目无关或未提供的得0分。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供应商针对本项目编制完整的资源配置计划，内容包含：①劳动力投入计划；②施工机械配备计划；③施工主要材料投入计划。 二、评审标准：1、完整性：方案必须全面，对评审内容中的各项要求有详细描述；2、可实施性：切合本项目实际情况，提出步骤清晰、合理的方案；3、针对性：方案能够紧扣项目实际情况，内容科学合理。 三、赋分标准（9分）： ①劳动力投入计划：每满足一项评审标准得1分，满分3分，针对每项评审标准内容存在不合理的扣0.5分，内容与本项目无关或未提供的得0分； ②施工机械配备计划：每满足一项评审标准得1分，满分3分，针对每项评审标准内容存在不合理的扣0.5分，内容与本项目无关或未提供的得0分； ③施工主要材料投入计划：每满足一项评审标准得1分，满分3分，针对每项评审标准内容存在不合理的扣0.5分，内容与本项目无关或未提供的得0分。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一、评审内容：供应商针对本项目编制的应急预案措施，内容包含：①人员事故应急预案；②突发暴雨、大风、大雾等特殊天气的应急预案。 二、评审标准：1、完整性：方案必须全面，对评审内容中的各项要求有详细描述；2、可实施性：切合本项目实际情况，提出步骤清晰、合理的方案；3、针对性：方案能够紧扣项目实际情况，内容科学合理。 三、赋分标准（6分）： ①人员事故应急预案：每满足一项评审标准得1分，满分3分，针对每项评审标准内容存在不合理的扣0.5分，内容与本项目无关或未提供的得0分； ②突发暴雨、大风、大雾等特殊天气的应急预案：每满足一项评审标准得1分，满分3分，针对每项评审标准内容存在不合理的扣0.5分，内容与本项目无关或未提供的得0分。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供应商针对本项目编制施工承诺，内容包含:①施工阶段的承诺（包括质量、安全、文明等）；②质保阶段的承诺（包括质保期、质保内容、响应时间等）。 二、评审标准：1、完整性：方案必须全面，对评审内容中的各项要求有详细描述；2、可实施性：切合本项目实际情况，提出步骤清晰、合理的方案；3、针对性：方案能够紧扣项目实际情况，内容科学合理。 三、赋分标准（6分）： ①施工阶段的承诺（包括质量、安全、文明等）：每满足一项评审标准得1分，满分3分，针对每项评审标准内容存在不合理的扣0.5分，内容与本项目无关或未提供的得0分； ②质保阶段的承诺（包括质保期、质保内容、响应时间等）：每满足一项评审标准得1分，满分3分，针对每项评审标准内容存在不合理的扣0.5分，内容与本项目无关或未提供的得0分。 备注:“不合理”指内容存在错误、表述不完善、缺少次要关键点或不完全贴合本项目特征等情形。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供应商提供2023年1月1日至今类似业绩，每提供一个得1.5分，满分3分。（以合同签订时间或中标通知书签发时间为准）。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投标报价得分＝（评审基准价/投标报价）×30 ， 满足磋商文件要求且报价最低的投标报价为评审基准价，其价格分为满分。 评标委员会三分之二以上专家认为某投标报价有低于成本价嫌疑的，为无效投标报价。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