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43509C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/>
        <w:jc w:val="center"/>
        <w:textAlignment w:val="auto"/>
        <w:rPr>
          <w:rFonts w:hint="eastAsia" w:ascii="Arial" w:hAnsi="Arial" w:eastAsia="等线" w:cs="Arial"/>
          <w:b/>
          <w:sz w:val="44"/>
          <w:szCs w:val="44"/>
          <w:lang w:val="en-US" w:eastAsia="zh-CN"/>
        </w:rPr>
      </w:pPr>
      <w:r>
        <w:rPr>
          <w:rFonts w:ascii="Arial" w:hAnsi="Arial" w:eastAsia="等线" w:cs="Arial"/>
          <w:b/>
          <w:sz w:val="44"/>
          <w:szCs w:val="44"/>
        </w:rPr>
        <w:t>延川县永坪镇永坪村便民服务提升</w:t>
      </w:r>
      <w:r>
        <w:rPr>
          <w:rFonts w:hint="eastAsia" w:ascii="Arial" w:hAnsi="Arial" w:eastAsia="等线" w:cs="Arial"/>
          <w:b/>
          <w:sz w:val="44"/>
          <w:szCs w:val="44"/>
          <w:lang w:val="en-US" w:eastAsia="zh-CN"/>
        </w:rPr>
        <w:t>采购</w:t>
      </w:r>
    </w:p>
    <w:p w14:paraId="5D4A519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/>
        <w:jc w:val="center"/>
        <w:textAlignment w:val="auto"/>
        <w:rPr>
          <w:sz w:val="44"/>
          <w:szCs w:val="44"/>
        </w:rPr>
      </w:pPr>
      <w:r>
        <w:rPr>
          <w:rFonts w:ascii="Arial" w:hAnsi="Arial" w:eastAsia="等线" w:cs="Arial"/>
          <w:b/>
          <w:sz w:val="44"/>
          <w:szCs w:val="44"/>
        </w:rPr>
        <w:t>项目</w:t>
      </w:r>
      <w:r>
        <w:rPr>
          <w:rFonts w:hint="eastAsia" w:ascii="Arial" w:hAnsi="Arial" w:eastAsia="等线" w:cs="Arial"/>
          <w:b/>
          <w:sz w:val="44"/>
          <w:szCs w:val="44"/>
          <w:lang w:val="en-US" w:eastAsia="zh-CN"/>
        </w:rPr>
        <w:t>的</w:t>
      </w:r>
      <w:r>
        <w:rPr>
          <w:rFonts w:ascii="Arial" w:hAnsi="Arial" w:eastAsia="等线" w:cs="Arial"/>
          <w:b/>
          <w:sz w:val="44"/>
          <w:szCs w:val="44"/>
        </w:rPr>
        <w:t>采购需求</w:t>
      </w:r>
    </w:p>
    <w:p w14:paraId="5D619EC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firstLine="643" w:firstLineChars="200"/>
        <w:jc w:val="both"/>
        <w:textAlignment w:val="auto"/>
        <w:outlineLvl w:val="0"/>
        <w:rPr>
          <w:rFonts w:hint="eastAsia" w:ascii="仿宋" w:hAnsi="仿宋" w:eastAsia="仿宋" w:cs="仿宋"/>
          <w:sz w:val="32"/>
          <w:szCs w:val="32"/>
        </w:rPr>
      </w:pPr>
      <w:bookmarkStart w:id="0" w:name="heading_0"/>
      <w:r>
        <w:rPr>
          <w:rFonts w:hint="eastAsia" w:ascii="仿宋" w:hAnsi="仿宋" w:eastAsia="仿宋" w:cs="仿宋"/>
          <w:b/>
          <w:sz w:val="32"/>
          <w:szCs w:val="32"/>
        </w:rPr>
        <w:t>一、项目概况</w:t>
      </w:r>
      <w:bookmarkEnd w:id="0"/>
    </w:p>
    <w:p w14:paraId="466C20B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1. 项目名称：延川县永坪镇永坪村便民服务提升项目</w:t>
      </w:r>
    </w:p>
    <w:p w14:paraId="428A546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2. 项目实施地点：延川县永坪镇永坪村</w:t>
      </w:r>
    </w:p>
    <w:p w14:paraId="4E369F7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3. 项目建设背景：为进一步完善永坪村村级便民服务基础设施，优化村级公共服务环境，补齐乡村公共服务短板，切实提升村级便民服务中心服务能力、服务质量与服务效率，打通基层便民服务“最后一公里”，满足村民日常办事、咨询、休憩等多元化便民需求，助力乡村基层治理规范化、精细化、便民化发展，特实施本次便民服务提升项目。</w:t>
      </w:r>
    </w:p>
    <w:p w14:paraId="3E48794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4. 项目建设内容：本项目聚焦永坪村便民服务提质升级，针对性打造综合服务室、红色书屋、活动健身区、儿童游乐区四大功能区域，通过购置成品装配式轻钢结构房屋、配套便民服务设施、文体健身游乐设备，完善村级便民服务、红色教育、群众休闲、文体健身一体化服务体系，补齐乡村公共服务短板，优化村民人居休闲环境，全面提升村级公共服务配套水平与村民幸福感、获得感。</w:t>
      </w:r>
    </w:p>
    <w:p w14:paraId="69690B8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5. 项目资金来源：财政专项资金（以实际批复为准）</w:t>
      </w:r>
    </w:p>
    <w:p w14:paraId="44EAEBA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6. 项目工期：自合同签订之日起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6</w:t>
      </w:r>
      <w:r>
        <w:rPr>
          <w:rFonts w:hint="eastAsia" w:ascii="仿宋" w:hAnsi="仿宋" w:eastAsia="仿宋" w:cs="仿宋"/>
          <w:sz w:val="32"/>
          <w:szCs w:val="32"/>
        </w:rPr>
        <w:t>0日历天内完成全部供货、安装、调试及验收交付工作</w:t>
      </w:r>
    </w:p>
    <w:p w14:paraId="4DBA362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7. 项目质量标准：所有采购货物及施工内容均符合国家、行业现行标准及规范，质量合格，确保通过采购人及相关主管部门竣工验收。</w:t>
      </w:r>
    </w:p>
    <w:p w14:paraId="53E70B8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firstLine="643" w:firstLineChars="200"/>
        <w:jc w:val="both"/>
        <w:textAlignment w:val="auto"/>
        <w:outlineLvl w:val="0"/>
        <w:rPr>
          <w:rFonts w:hint="eastAsia" w:ascii="仿宋" w:hAnsi="仿宋" w:eastAsia="仿宋" w:cs="仿宋"/>
          <w:sz w:val="32"/>
          <w:szCs w:val="32"/>
        </w:rPr>
      </w:pPr>
      <w:bookmarkStart w:id="1" w:name="heading_1"/>
      <w:r>
        <w:rPr>
          <w:rFonts w:hint="eastAsia" w:ascii="仿宋" w:hAnsi="仿宋" w:eastAsia="仿宋" w:cs="仿宋"/>
          <w:b/>
          <w:sz w:val="32"/>
          <w:szCs w:val="32"/>
        </w:rPr>
        <w:t>二、采购内容明细</w:t>
      </w:r>
      <w:bookmarkEnd w:id="1"/>
    </w:p>
    <w:p w14:paraId="5978307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本项目为交钥匙工程，供应商需负责所有设备、设施、装配式房屋的供货、运输、卸货、安装、搭建、调试、试运行、验收、人员操作培训、现场清理及全程售后维保等全部工作，具体核心采购内容明细如下：</w:t>
      </w:r>
    </w:p>
    <w:p w14:paraId="3C6761C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firstLine="643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b/>
          <w:sz w:val="32"/>
          <w:szCs w:val="32"/>
        </w:rPr>
        <w:t>（一）综合服务室</w:t>
      </w:r>
    </w:p>
    <w:p w14:paraId="67B795F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购置成品装配式轻钢结构房屋1座，房屋规格为长8m、宽5.5m、高3.5m，建筑面积44㎡。配套购置安装办公桌椅、休息座椅、便民饮水设备、免费WiFi全套设备、急救箱、应急工具箱等便民服务设施，打造一站式村级便民服务点位，满足村民业务咨询、临时休憩、便民办事、应急保障等需求。</w:t>
      </w:r>
    </w:p>
    <w:p w14:paraId="2BEA8F7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firstLine="643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b/>
          <w:sz w:val="32"/>
          <w:szCs w:val="32"/>
        </w:rPr>
        <w:t>（二）红色书屋</w:t>
      </w:r>
    </w:p>
    <w:p w14:paraId="23A931C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购置成品装配式轻钢结构房屋1座，房屋规格为长13m、宽5.5m、高4.5m，建筑面积71.5㎡。配套购置红色经典著作系列书籍、专用书架、阅览桌椅、智能电子借阅机，同时配齐书屋照明、通风、收纳等全套配套设施，搭建村级红色教育、读书学习、文化宣讲阵地，丰富村民精神文化生活，传承红色文化。</w:t>
      </w:r>
    </w:p>
    <w:p w14:paraId="603813C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firstLine="643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b/>
          <w:sz w:val="32"/>
          <w:szCs w:val="32"/>
        </w:rPr>
        <w:t>（三）活动健身区</w:t>
      </w:r>
    </w:p>
    <w:p w14:paraId="21B8920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配套购置安装户外健身器材一批，具体包含扭腰器、太极推揉器、单双杠、压腿架、上肢牵引器、腰背按摩器、蹬力器等标准化户外健身设施，器材适配乡村户外场地使用，满足不同年龄段村民日常健身锻炼需求，完善村级全民健身配套。</w:t>
      </w:r>
    </w:p>
    <w:p w14:paraId="3C97AD7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firstLine="643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b/>
          <w:sz w:val="32"/>
          <w:szCs w:val="32"/>
        </w:rPr>
        <w:t>（四）儿童游乐区</w:t>
      </w:r>
    </w:p>
    <w:p w14:paraId="7ADA19C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配套购置安装儿童游乐设施一批，具体包含儿童秋千、跷跷板、攀爬架、摇摇马、旋转转盘、立体攀爬网、攀岩墙、绳网吊桥等全套儿童游乐设备，所有设施符合儿童安全使用标准，打造安全、趣味、完善的村级儿童休闲游乐区域，满足村内儿童日常游乐玩耍需求。</w:t>
      </w:r>
    </w:p>
    <w:p w14:paraId="040B2F2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firstLine="640" w:firstLineChars="200"/>
        <w:jc w:val="both"/>
        <w:textAlignment w:val="auto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以上采购内容具体技术规格、参数、数量及要求详见采购预算评审文件。</w:t>
      </w:r>
    </w:p>
    <w:p w14:paraId="45313C7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firstLine="643" w:firstLineChars="200"/>
        <w:jc w:val="both"/>
        <w:textAlignment w:val="auto"/>
        <w:outlineLvl w:val="0"/>
        <w:rPr>
          <w:rFonts w:hint="eastAsia" w:ascii="仿宋" w:hAnsi="仿宋" w:eastAsia="仿宋" w:cs="仿宋"/>
          <w:sz w:val="32"/>
          <w:szCs w:val="32"/>
        </w:rPr>
      </w:pPr>
      <w:bookmarkStart w:id="2" w:name="heading_2"/>
      <w:r>
        <w:rPr>
          <w:rFonts w:hint="eastAsia" w:ascii="仿宋" w:hAnsi="仿宋" w:eastAsia="仿宋" w:cs="仿宋"/>
          <w:b/>
          <w:sz w:val="32"/>
          <w:szCs w:val="32"/>
        </w:rPr>
        <w:t>三、供应商资格要求</w:t>
      </w:r>
      <w:bookmarkEnd w:id="2"/>
    </w:p>
    <w:p w14:paraId="236D244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1. 法人资格：供应商须为在中华人民共和国境内合法注册的独立法人，具备有效的营业执照，能够独立承担民事责任。</w:t>
      </w:r>
    </w:p>
    <w:p w14:paraId="79813E9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2. 履约能力：供应商具备良好的商业信誉和健全的财务会计制度，具备履行本项目合同所需的设备、人员、技术及服务能力。</w:t>
      </w:r>
    </w:p>
    <w:p w14:paraId="0488941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3. 信用要求：供应商未被列入“信用中国”网站失信被执行人名单、重大税收违法失信主体，未被列入政府采购严重违法失信行为记录名单，无重大违法违规经营记录。</w:t>
      </w:r>
    </w:p>
    <w:p w14:paraId="1E00152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4. 其他要求：本项目不接受联合体投标，不允许分包、转包。</w:t>
      </w:r>
    </w:p>
    <w:p w14:paraId="263152B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firstLine="643" w:firstLineChars="200"/>
        <w:jc w:val="both"/>
        <w:textAlignment w:val="auto"/>
        <w:outlineLvl w:val="0"/>
        <w:rPr>
          <w:rFonts w:hint="eastAsia" w:ascii="仿宋" w:hAnsi="仿宋" w:eastAsia="仿宋" w:cs="仿宋"/>
          <w:sz w:val="32"/>
          <w:szCs w:val="32"/>
        </w:rPr>
      </w:pPr>
      <w:bookmarkStart w:id="3" w:name="heading_3"/>
      <w:r>
        <w:rPr>
          <w:rFonts w:hint="eastAsia" w:ascii="仿宋" w:hAnsi="仿宋" w:eastAsia="仿宋" w:cs="仿宋"/>
          <w:b/>
          <w:sz w:val="32"/>
          <w:szCs w:val="32"/>
        </w:rPr>
        <w:t>四、技术及服务要求</w:t>
      </w:r>
      <w:bookmarkEnd w:id="3"/>
    </w:p>
    <w:p w14:paraId="2A4F2E2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1. 所有采购产品须为全新、原厂正品、未使用过的合格产品，符合国家相关质量标准、环保标准及行业规范，外观完好、性能稳定、功能齐全。</w:t>
      </w:r>
    </w:p>
    <w:p w14:paraId="1ADB30C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2. 产品技术参数、规格型号需完全满足项目便民服务使用需求，若有标准配置偏差，需提前书面告知采购人并征得同意，严禁私自更换低配、劣质产品。</w:t>
      </w:r>
    </w:p>
    <w:p w14:paraId="1E1A7B4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3. 供应商需负责所有设备的运输、装卸、安装、调试，全程承担运输损耗、安装损坏等全部风险及费用，安装完成后需确保所有设备正常运行、可投入使用。</w:t>
      </w:r>
    </w:p>
    <w:p w14:paraId="24AD552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4. 项目完工后，供应商需对采购人工作人员进行免费操作培训，确保相关人员熟练掌握设备操作、日常维护及简单故障排查方法。</w:t>
      </w:r>
    </w:p>
    <w:p w14:paraId="1820209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firstLine="643" w:firstLineChars="200"/>
        <w:jc w:val="both"/>
        <w:textAlignment w:val="auto"/>
        <w:outlineLvl w:val="0"/>
        <w:rPr>
          <w:rFonts w:hint="eastAsia" w:ascii="仿宋" w:hAnsi="仿宋" w:eastAsia="仿宋" w:cs="仿宋"/>
          <w:sz w:val="32"/>
          <w:szCs w:val="32"/>
        </w:rPr>
      </w:pPr>
      <w:bookmarkStart w:id="4" w:name="heading_4"/>
      <w:r>
        <w:rPr>
          <w:rFonts w:hint="eastAsia" w:ascii="仿宋" w:hAnsi="仿宋" w:eastAsia="仿宋" w:cs="仿宋"/>
          <w:b/>
          <w:sz w:val="32"/>
          <w:szCs w:val="32"/>
        </w:rPr>
        <w:t>五、验收标准</w:t>
      </w:r>
      <w:bookmarkEnd w:id="4"/>
    </w:p>
    <w:p w14:paraId="10D611A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1. 整体验收：项目全部完工后，供应商提交验收申请，采购人组织相关人员进行整体竣工验收，验收内容包含货物数量、规格型号、外观质量、安装质量、运行状态、配套服务等。</w:t>
      </w:r>
    </w:p>
    <w:p w14:paraId="63DF0C0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2. 质量验收：所有设备运行稳定、功能正常，无质量缺陷、无安全隐患，安装规范、布局合理，符合村级便民服务场景使用要求。</w:t>
      </w:r>
    </w:p>
    <w:p w14:paraId="2F1F063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3. 资料验收：供应商需提供完整的产品合格证、检测报告、说明书、质保凭证等全套资料，资料齐全、真实有效。</w:t>
      </w:r>
    </w:p>
    <w:p w14:paraId="603D908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4. 验收结论：所有项目内容达标、资料齐全、运行正常即为验收合格；若存在不合格项，供应商需在规定时限内无偿整改完毕，直至验收合格。</w:t>
      </w:r>
    </w:p>
    <w:p w14:paraId="32998D3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firstLine="643" w:firstLineChars="200"/>
        <w:jc w:val="both"/>
        <w:textAlignment w:val="auto"/>
        <w:outlineLvl w:val="0"/>
        <w:rPr>
          <w:rFonts w:hint="eastAsia" w:ascii="仿宋" w:hAnsi="仿宋" w:eastAsia="仿宋" w:cs="仿宋"/>
          <w:sz w:val="32"/>
          <w:szCs w:val="32"/>
        </w:rPr>
      </w:pPr>
      <w:bookmarkStart w:id="5" w:name="heading_5"/>
      <w:r>
        <w:rPr>
          <w:rFonts w:hint="eastAsia" w:ascii="仿宋" w:hAnsi="仿宋" w:eastAsia="仿宋" w:cs="仿宋"/>
          <w:b/>
          <w:sz w:val="32"/>
          <w:szCs w:val="32"/>
        </w:rPr>
        <w:t>六、售后维保要求</w:t>
      </w:r>
      <w:bookmarkEnd w:id="5"/>
    </w:p>
    <w:p w14:paraId="1BFD745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1. 质保期：所有产品整体质保期不少于1年（自项目竣工验收合格之日起计算），核心设备质保年限按行业最高标准执行，质保期内免费维修、免费更换零部件。</w:t>
      </w:r>
    </w:p>
    <w:p w14:paraId="1A2BDBC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2. 响应时效：质保期内设备出现故障，供应商需在2小时内响应，24小时内到场排查维修，确保设备快速恢复正常使用。</w:t>
      </w:r>
    </w:p>
    <w:p w14:paraId="627244A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3. 质保服务：质保期内提供免费上门维保、检修服务，定期回访设备运行情况；质保期满后，提供终身成本价维修服务，持续保障设备正常运行。</w:t>
      </w:r>
    </w:p>
    <w:p w14:paraId="32CAEE1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firstLine="643" w:firstLineChars="200"/>
        <w:jc w:val="both"/>
        <w:textAlignment w:val="auto"/>
        <w:outlineLvl w:val="0"/>
        <w:rPr>
          <w:rFonts w:hint="eastAsia" w:ascii="仿宋" w:hAnsi="仿宋" w:eastAsia="仿宋" w:cs="仿宋"/>
          <w:sz w:val="32"/>
          <w:szCs w:val="32"/>
        </w:rPr>
      </w:pPr>
      <w:bookmarkStart w:id="6" w:name="heading_6"/>
      <w:r>
        <w:rPr>
          <w:rFonts w:hint="eastAsia" w:ascii="仿宋" w:hAnsi="仿宋" w:eastAsia="仿宋" w:cs="仿宋"/>
          <w:b/>
          <w:sz w:val="32"/>
          <w:szCs w:val="32"/>
        </w:rPr>
        <w:t>七、报价要求</w:t>
      </w:r>
      <w:bookmarkEnd w:id="6"/>
    </w:p>
    <w:p w14:paraId="5935B1B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1. 供应商报价为一次性全费用综合单价，包含货物材料费、设备费、运输费、装卸费、安装调试费、培训费、税费、售后维保、垃圾清运、现场清理等项目全部费用，采购人无需额外支付任何费用。</w:t>
      </w:r>
    </w:p>
    <w:p w14:paraId="7BF3539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2. 报价需合理合规，低于市场成本价、恶意低价、虚高报价均视为无效报价。</w:t>
      </w:r>
    </w:p>
    <w:p w14:paraId="5ED140E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3. 报价清单需清晰列明各项采购内容的名称、规格、数量、单价、合价、总价，明细完整、数据准确。</w:t>
      </w:r>
    </w:p>
    <w:p w14:paraId="49CC81D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firstLine="643" w:firstLineChars="200"/>
        <w:jc w:val="both"/>
        <w:textAlignment w:val="auto"/>
        <w:outlineLvl w:val="0"/>
        <w:rPr>
          <w:rFonts w:hint="eastAsia" w:ascii="仿宋" w:hAnsi="仿宋" w:eastAsia="仿宋" w:cs="仿宋"/>
          <w:sz w:val="32"/>
          <w:szCs w:val="32"/>
        </w:rPr>
      </w:pPr>
      <w:bookmarkStart w:id="7" w:name="heading_7"/>
      <w:r>
        <w:rPr>
          <w:rFonts w:hint="eastAsia" w:ascii="仿宋" w:hAnsi="仿宋" w:eastAsia="仿宋" w:cs="仿宋"/>
          <w:b/>
          <w:sz w:val="32"/>
          <w:szCs w:val="32"/>
        </w:rPr>
        <w:t>八、其他要求</w:t>
      </w:r>
      <w:bookmarkEnd w:id="7"/>
    </w:p>
    <w:p w14:paraId="2AE7DD4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1. 供应商需严格按照采购人需求及国家规范实施项目，服从采购人现场管理，遵守施工现场安全、文明施工规定，施工过程中做好安全防护，承担全部安全责任。</w:t>
      </w:r>
    </w:p>
    <w:p w14:paraId="18DEC44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2. 项目实施过程中产生的建筑垃圾、包装废料等，由供应商负责统一清理、清运，确保施工场地干净整洁。</w:t>
      </w:r>
    </w:p>
    <w:p w14:paraId="110D2B6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3. 供应商需严格遵守工期要求，按期完成全部工作，逾期完工将按照合同约定承担违约责任。</w:t>
      </w:r>
    </w:p>
    <w:p w14:paraId="163398B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4. 本采购需求未尽事宜，由供需双方协商确定，并以合同形式予以明确。</w:t>
      </w:r>
    </w:p>
    <w:p w14:paraId="6EF0F8A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/>
        <w:jc w:val="both"/>
        <w:textAlignment w:val="auto"/>
        <w:rPr>
          <w:rFonts w:hint="eastAsia" w:ascii="仿宋" w:hAnsi="仿宋" w:eastAsia="仿宋" w:cs="仿宋"/>
          <w:sz w:val="32"/>
          <w:szCs w:val="32"/>
        </w:rPr>
      </w:pPr>
    </w:p>
    <w:p w14:paraId="0F9D056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/>
        <w:jc w:val="both"/>
        <w:textAlignment w:val="auto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清单详见谈判文件</w:t>
      </w:r>
      <w:bookmarkStart w:id="8" w:name="_GoBack"/>
      <w:bookmarkEnd w:id="8"/>
    </w:p>
    <w:sectPr>
      <w:headerReference r:id="rId3" w:type="default"/>
      <w:footerReference r:id="rId4" w:type="default"/>
      <w:pgSz w:w="11905" w:h="1684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C6F89C2"/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F9C91BE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8"/>
  <w:documentProtection w:enforcement="0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77C0994"/>
    <w:rsid w:val="347D7179"/>
    <w:rsid w:val="34C771E4"/>
    <w:rsid w:val="59507D05"/>
    <w:rsid w:val="64BB1402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sz w:val="21"/>
      <w:szCs w:val="22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5</Pages>
  <Words>2457</Words>
  <Characters>2510</Characters>
  <TotalTime>39</TotalTime>
  <ScaleCrop>false</ScaleCrop>
  <LinksUpToDate>false</LinksUpToDate>
  <CharactersWithSpaces>2539</CharactersWithSpaces>
  <Application>WPS Office_12.1.0.26895_F1E327BC-269C-435d-A152-05C5408002CA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2026-07-01T02:54:00Z</dcterms:created>
  <dc:creator>Apache POI</dc:creator>
  <cp:lastModifiedBy>Mr.wang</cp:lastModifiedBy>
  <dcterms:modified xsi:type="dcterms:W3CDTF">2026-07-22T08:26:05Z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IGC">
    <vt:lpwstr>{"Label":"1","ContentProducer":"001191110102MACQD9K64010000","ProduceID":"7657387440601107422","ReservedCode1":"","ContentPropagator":"","PropagateID":"","ReservedCode2":""}</vt:lpwstr>
  </property>
  <property fmtid="{D5CDD505-2E9C-101B-9397-08002B2CF9AE}" pid="3" name="KSOTemplateDocerSaveRecord">
    <vt:lpwstr>eyJoZGlkIjoiNjQ4MzA2MWI0MzQzOTg4NjI4MjM2ZWY1OGFiY2M5NGQiLCJ1c2VySWQiOiIzMzA0MTE2NzMifQ==</vt:lpwstr>
  </property>
  <property fmtid="{D5CDD505-2E9C-101B-9397-08002B2CF9AE}" pid="4" name="KSOProductBuildVer">
    <vt:lpwstr>2052-12.1.0.26895</vt:lpwstr>
  </property>
  <property fmtid="{D5CDD505-2E9C-101B-9397-08002B2CF9AE}" pid="5" name="ICV">
    <vt:lpwstr>84032F9713A14F1B95D74FE225FBEE6F_13</vt:lpwstr>
  </property>
</Properties>
</file>