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版本号：BC-2026-040720260427001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污泥拉运及处置项目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BC-2026-0407</w:t>
      </w:r>
      <w:r>
        <w:br/>
      </w:r>
      <w:r>
        <w:br/>
      </w:r>
      <w:r>
        <w:br/>
      </w:r>
    </w:p>
    <w:p>
      <w:pPr>
        <w:pStyle w:val="null3"/>
        <w:jc w:val="center"/>
        <w:outlineLvl w:val="2"/>
      </w:pPr>
      <w:r>
        <w:rPr>
          <w:rFonts w:ascii="仿宋_GB2312" w:hAnsi="仿宋_GB2312" w:cs="仿宋_GB2312" w:eastAsia="仿宋_GB2312"/>
          <w:sz w:val="28"/>
          <w:b/>
        </w:rPr>
        <w:t>韩城市住房和城乡规划建设局（本级）</w:t>
      </w:r>
    </w:p>
    <w:p>
      <w:pPr>
        <w:pStyle w:val="null3"/>
        <w:jc w:val="center"/>
        <w:outlineLvl w:val="2"/>
      </w:pPr>
      <w:r>
        <w:rPr>
          <w:rFonts w:ascii="仿宋_GB2312" w:hAnsi="仿宋_GB2312" w:cs="仿宋_GB2312" w:eastAsia="仿宋_GB2312"/>
          <w:sz w:val="28"/>
          <w:b/>
        </w:rPr>
        <w:t>佰晨项目管理有限公司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佰晨项目管理有限公司</w:t>
      </w:r>
      <w:r>
        <w:rPr>
          <w:rFonts w:ascii="仿宋_GB2312" w:hAnsi="仿宋_GB2312" w:cs="仿宋_GB2312" w:eastAsia="仿宋_GB2312"/>
        </w:rPr>
        <w:t>（以下简称“代理机构”）受</w:t>
      </w:r>
      <w:r>
        <w:rPr>
          <w:rFonts w:ascii="仿宋_GB2312" w:hAnsi="仿宋_GB2312" w:cs="仿宋_GB2312" w:eastAsia="仿宋_GB2312"/>
        </w:rPr>
        <w:t>韩城市住房和城乡规划建设局（本级）</w:t>
      </w:r>
      <w:r>
        <w:rPr>
          <w:rFonts w:ascii="仿宋_GB2312" w:hAnsi="仿宋_GB2312" w:cs="仿宋_GB2312" w:eastAsia="仿宋_GB2312"/>
        </w:rPr>
        <w:t>委托，拟对</w:t>
      </w:r>
      <w:r>
        <w:rPr>
          <w:rFonts w:ascii="仿宋_GB2312" w:hAnsi="仿宋_GB2312" w:cs="仿宋_GB2312" w:eastAsia="仿宋_GB2312"/>
        </w:rPr>
        <w:t>污泥拉运及处置项目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BC-2026-0407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污泥拉运及处置项目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自运营之日起，每年三百六十五（365）日连续接收市污水处理厂、金城污水处理厂及龙门污水处理厂污泥，年处理量预计为2.2万吨，用于制作有机肥。承担污泥拉运及处置工作。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采购包1（污泥拉运及处置项目）：属于专门面向中小企业采购。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1、主体资格：供应商合法注册的法人或其他组织的营业执照等证明文件，自然人的身份证明；</w:t>
      </w:r>
    </w:p>
    <w:p>
      <w:pPr>
        <w:pStyle w:val="null3"/>
      </w:pPr>
      <w:r>
        <w:rPr>
          <w:rFonts w:ascii="仿宋_GB2312" w:hAnsi="仿宋_GB2312" w:cs="仿宋_GB2312" w:eastAsia="仿宋_GB2312"/>
        </w:rPr>
        <w:t>2、具有良好的商业信誉和健全的财务会计制度：提供2024年度或2025年度经第三方审计的财务报告，至少包括三表一注，即资产负债表、利润表、现金流量表及其附注 (成立时间至提交响应文件截止时间不足一年的可提供成立后任意时段的资产负债表) ；或其响应文件递交截止时间前三个月内基本存款账户开户银行出具的资信证明及开户银行许可证 (或开户行出具的基本户证明材料)；或信用担保机构出具的投标担保函。(以上三种形式的资料提供任何一种即可)</w:t>
      </w:r>
    </w:p>
    <w:p>
      <w:pPr>
        <w:pStyle w:val="null3"/>
      </w:pPr>
      <w:r>
        <w:rPr>
          <w:rFonts w:ascii="仿宋_GB2312" w:hAnsi="仿宋_GB2312" w:cs="仿宋_GB2312" w:eastAsia="仿宋_GB2312"/>
        </w:rPr>
        <w:t>3、社会保障资金缴纳证明：提供截止至响应文件递交截止时间前六个月内任一个月份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4、税收缴纳证明：提供截止至响应文件递交时间前六个月内任一个月份的纳税证明或完税证明，纳税证明或完税证明上应有代收机构或税务机关的公章或业务专用章。依法免税的供应商应提供相关文件证明。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5、无重大违法记录声明：参加政府采购活动前三年内在经营活动中没有重大违法记录的书面声明。</w:t>
      </w:r>
    </w:p>
    <w:p>
      <w:pPr>
        <w:pStyle w:val="null3"/>
      </w:pPr>
      <w:r>
        <w:rPr>
          <w:rFonts w:ascii="仿宋_GB2312" w:hAnsi="仿宋_GB2312" w:cs="仿宋_GB2312" w:eastAsia="仿宋_GB2312"/>
        </w:rPr>
        <w:t>6、履约能力声明：具有履行本合同所必需的设备和专业技术能力，以及污泥处理后符合环保要求的承诺。</w:t>
      </w:r>
    </w:p>
    <w:p>
      <w:pPr>
        <w:pStyle w:val="null3"/>
      </w:pPr>
      <w:r>
        <w:rPr>
          <w:rFonts w:ascii="仿宋_GB2312" w:hAnsi="仿宋_GB2312" w:cs="仿宋_GB2312" w:eastAsia="仿宋_GB2312"/>
        </w:rPr>
        <w:t>7、法定代表人授权书：法定代表人参加磋商时，提供本人身份证；授权代表参加磋商时，提供法定代表人授权书和被授权人身份证；非法人单位参照执行。</w:t>
      </w:r>
    </w:p>
    <w:p>
      <w:pPr>
        <w:pStyle w:val="null3"/>
      </w:pPr>
      <w:r>
        <w:rPr>
          <w:rFonts w:ascii="仿宋_GB2312" w:hAnsi="仿宋_GB2312" w:cs="仿宋_GB2312" w:eastAsia="仿宋_GB2312"/>
        </w:rPr>
        <w:t>8、本项目不接受联合体磋商：本项目不允许联合体磋商。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韩城市住房和城乡规划建设局（本级）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韩城市太史大街东段泰山新天地9楼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韩城市住房和城乡建设局经办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0913-5216202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佰晨项目管理有限公司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陕西省西安市雁塔区陕西省西安市曲江新区雁翔路3269号旺座曲江F座1003室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029-89866364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代理服务费收费标准：代理服务费收费标准：参照国家计委计价格（2002）1980号文件规定标准，以预算金额为基数计算，由成交供应商支付代理服务费。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韩城市住房和城乡规划建设局（本级）</w:t>
      </w:r>
      <w:r>
        <w:rPr>
          <w:rFonts w:ascii="仿宋_GB2312" w:hAnsi="仿宋_GB2312" w:cs="仿宋_GB2312" w:eastAsia="仿宋_GB2312"/>
        </w:rPr>
        <w:t>和</w:t>
      </w:r>
      <w:r>
        <w:rPr>
          <w:rFonts w:ascii="仿宋_GB2312" w:hAnsi="仿宋_GB2312" w:cs="仿宋_GB2312" w:eastAsia="仿宋_GB2312"/>
        </w:rPr>
        <w:t>佰晨项目管理有限公司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韩城市住房和城乡规划建设局（本级）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佰晨项目管理有限公司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韩城市住房和城乡规划建设局（本级）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佰晨项目管理有限公司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佰晨项目管理有限公司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佰晨项目管理有限公司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佰晨项目管理有限公司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联系人：张航</w:t>
      </w:r>
    </w:p>
    <w:p>
      <w:pPr>
        <w:pStyle w:val="null3"/>
      </w:pPr>
      <w:r>
        <w:rPr>
          <w:rFonts w:ascii="仿宋_GB2312" w:hAnsi="仿宋_GB2312" w:cs="仿宋_GB2312" w:eastAsia="仿宋_GB2312"/>
        </w:rPr>
        <w:t>联系电话：029-89866364</w:t>
      </w:r>
    </w:p>
    <w:p>
      <w:pPr>
        <w:pStyle w:val="null3"/>
      </w:pPr>
      <w:r>
        <w:rPr>
          <w:rFonts w:ascii="仿宋_GB2312" w:hAnsi="仿宋_GB2312" w:cs="仿宋_GB2312" w:eastAsia="仿宋_GB2312"/>
        </w:rPr>
        <w:t>地址：西安市曲江新区雁翔路3269号旺座曲江F座1003室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自运营之日起，每年三百六十五（365）日连续接收市污水处理厂、金城污水处理厂及龙门污水处理厂污泥，年处理量预计为2.2万吨，用于制作有机肥。承担污泥拉运及处置工作。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1,870,000.00</w:t>
      </w:r>
    </w:p>
    <w:p>
      <w:pPr>
        <w:pStyle w:val="null3"/>
      </w:pPr>
      <w:r>
        <w:rPr>
          <w:rFonts w:ascii="仿宋_GB2312" w:hAnsi="仿宋_GB2312" w:cs="仿宋_GB2312" w:eastAsia="仿宋_GB2312"/>
        </w:rPr>
        <w:t>采购包最高限价（元）: 1,870,000.00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污泥拉运及处置项目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标的名称：污泥拉运及处置项目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自运营之日起，每年三百六十五（</w:t>
            </w:r>
            <w:r>
              <w:rPr>
                <w:rFonts w:ascii="仿宋_GB2312" w:hAnsi="仿宋_GB2312" w:cs="仿宋_GB2312" w:eastAsia="仿宋_GB2312"/>
                <w:sz w:val="21"/>
                <w:color w:val="000000"/>
              </w:rPr>
              <w:t>365）日连续接收市污水处理厂、金城污水处理厂及龙门污水处理厂污泥，年处理量预计为2.2万吨，用于制作有机肥。承担污泥拉运及处置工作。</w:t>
            </w:r>
          </w:p>
          <w:p>
            <w:pPr>
              <w:pStyle w:val="null3"/>
              <w:ind w:firstLine="420"/>
              <w:jc w:val="both"/>
            </w:pPr>
            <w:r>
              <w:rPr>
                <w:rFonts w:ascii="仿宋_GB2312" w:hAnsi="仿宋_GB2312" w:cs="仿宋_GB2312" w:eastAsia="仿宋_GB2312"/>
                <w:sz w:val="21"/>
                <w:color w:val="000000"/>
              </w:rPr>
              <w:t>2、服务期：</w:t>
            </w:r>
            <w:r>
              <w:rPr>
                <w:rFonts w:ascii="仿宋_GB2312" w:hAnsi="仿宋_GB2312" w:cs="仿宋_GB2312" w:eastAsia="仿宋_GB2312"/>
                <w:sz w:val="21"/>
                <w:color w:val="000000"/>
              </w:rPr>
              <w:t>3年，</w:t>
            </w:r>
            <w:r>
              <w:rPr>
                <w:rFonts w:ascii="仿宋_GB2312" w:hAnsi="仿宋_GB2312" w:cs="仿宋_GB2312" w:eastAsia="仿宋_GB2312"/>
                <w:sz w:val="21"/>
                <w:color w:val="000000"/>
              </w:rPr>
              <w:t>合同</w:t>
            </w:r>
            <w:r>
              <w:rPr>
                <w:rFonts w:ascii="仿宋_GB2312" w:hAnsi="仿宋_GB2312" w:cs="仿宋_GB2312" w:eastAsia="仿宋_GB2312"/>
                <w:sz w:val="21"/>
                <w:color w:val="000000"/>
              </w:rPr>
              <w:t>采取一年一签的形式。</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须承诺</w:t>
            </w:r>
            <w:r>
              <w:rPr>
                <w:rFonts w:ascii="仿宋_GB2312" w:hAnsi="仿宋_GB2312" w:cs="仿宋_GB2312" w:eastAsia="仿宋_GB2312"/>
                <w:sz w:val="21"/>
                <w:color w:val="000000"/>
              </w:rPr>
              <w:t>污泥处置点环保手续齐全，并落实防止污染环境措施，设施设备及人员到位</w:t>
            </w:r>
            <w:r>
              <w:rPr>
                <w:rFonts w:ascii="仿宋_GB2312" w:hAnsi="仿宋_GB2312" w:cs="仿宋_GB2312" w:eastAsia="仿宋_GB2312"/>
                <w:sz w:val="21"/>
                <w:color w:val="000000"/>
              </w:rPr>
              <w:t>，</w:t>
            </w:r>
            <w:r>
              <w:rPr>
                <w:rFonts w:ascii="仿宋_GB2312" w:hAnsi="仿宋_GB2312" w:cs="仿宋_GB2312" w:eastAsia="仿宋_GB2312"/>
                <w:sz w:val="21"/>
                <w:color w:val="000000"/>
              </w:rPr>
              <w:t>承载运输的车辆应手续齐全。</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、中标单位应当严格按合同约定工艺进行规范化、无害化处置，禁止将污泥在临时堆存点长期堆存；严禁超处置能力接收污泥进行违规处置；禁止非法转包、倒运等违规处置污泥等情况</w:t>
            </w:r>
            <w:r>
              <w:rPr>
                <w:rFonts w:ascii="仿宋_GB2312" w:hAnsi="仿宋_GB2312" w:cs="仿宋_GB2312" w:eastAsia="仿宋_GB2312"/>
                <w:sz w:val="21"/>
                <w:color w:val="000000"/>
              </w:rPr>
              <w:t>。</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、污泥产生单位、污泥运输单位、污泥处置单位</w:t>
            </w:r>
            <w:r>
              <w:rPr>
                <w:rFonts w:ascii="仿宋_GB2312" w:hAnsi="仿宋_GB2312" w:cs="仿宋_GB2312" w:eastAsia="仿宋_GB2312"/>
                <w:sz w:val="21"/>
                <w:color w:val="000000"/>
              </w:rPr>
              <w:t>应在</w:t>
            </w:r>
            <w:r>
              <w:rPr>
                <w:rFonts w:ascii="仿宋_GB2312" w:hAnsi="仿宋_GB2312" w:cs="仿宋_GB2312" w:eastAsia="仿宋_GB2312"/>
                <w:sz w:val="21"/>
                <w:color w:val="000000"/>
              </w:rPr>
              <w:t>污泥处置转运五联单上加盖公章及经办人签字，严禁他人代签。实时做好跟踪、记录管理台账，确保污泥的流向、用途、用量等</w:t>
            </w:r>
            <w:r>
              <w:rPr>
                <w:rFonts w:ascii="仿宋_GB2312" w:hAnsi="仿宋_GB2312" w:cs="仿宋_GB2312" w:eastAsia="仿宋_GB2312"/>
                <w:sz w:val="21"/>
                <w:color w:val="000000"/>
              </w:rPr>
              <w:t>信息</w:t>
            </w:r>
            <w:r>
              <w:rPr>
                <w:rFonts w:ascii="仿宋_GB2312" w:hAnsi="仿宋_GB2312" w:cs="仿宋_GB2312" w:eastAsia="仿宋_GB2312"/>
                <w:sz w:val="21"/>
                <w:color w:val="000000"/>
              </w:rPr>
              <w:t>真实可追溯，从而形成闭合的管理环节。</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、定期向采购人提交签字盖章</w:t>
            </w:r>
            <w:r>
              <w:rPr>
                <w:rFonts w:ascii="仿宋_GB2312" w:hAnsi="仿宋_GB2312" w:cs="仿宋_GB2312" w:eastAsia="仿宋_GB2312"/>
                <w:sz w:val="21"/>
                <w:color w:val="000000"/>
              </w:rPr>
              <w:t>后</w:t>
            </w:r>
            <w:r>
              <w:rPr>
                <w:rFonts w:ascii="仿宋_GB2312" w:hAnsi="仿宋_GB2312" w:cs="仿宋_GB2312" w:eastAsia="仿宋_GB2312"/>
                <w:sz w:val="21"/>
                <w:color w:val="000000"/>
              </w:rPr>
              <w:t>的污泥处置转运五联单；实时完成管理档案记录管理，包括污泥流向、用途、用量的跟踪、记录台账、原始台账、污泥处置产物的最终去向等资料。</w:t>
            </w:r>
          </w:p>
          <w:p>
            <w:pPr>
              <w:pStyle w:val="null3"/>
              <w:ind w:firstLine="420"/>
              <w:jc w:val="both"/>
            </w:pPr>
            <w:r>
              <w:rPr>
                <w:rFonts w:ascii="仿宋_GB2312" w:hAnsi="仿宋_GB2312" w:cs="仿宋_GB2312" w:eastAsia="仿宋_GB2312"/>
              </w:rPr>
              <w:t xml:space="preserve"> </w:t>
            </w:r>
            <w:r>
              <w:rPr>
                <w:rFonts w:ascii="仿宋_GB2312" w:hAnsi="仿宋_GB2312" w:cs="仿宋_GB2312" w:eastAsia="仿宋_GB2312"/>
                <w:sz w:val="21"/>
                <w:color w:val="000000"/>
              </w:rPr>
              <w:t>7</w:t>
            </w:r>
            <w:r>
              <w:rPr>
                <w:rFonts w:ascii="仿宋_GB2312" w:hAnsi="仿宋_GB2312" w:cs="仿宋_GB2312" w:eastAsia="仿宋_GB2312"/>
                <w:sz w:val="21"/>
                <w:color w:val="000000"/>
              </w:rPr>
              <w:t>、随时接受采购人</w:t>
            </w:r>
            <w:r>
              <w:rPr>
                <w:rFonts w:ascii="仿宋_GB2312" w:hAnsi="仿宋_GB2312" w:cs="仿宋_GB2312" w:eastAsia="仿宋_GB2312"/>
                <w:sz w:val="21"/>
                <w:color w:val="000000"/>
              </w:rPr>
              <w:t>及环保部门</w:t>
            </w:r>
            <w:r>
              <w:rPr>
                <w:rFonts w:ascii="仿宋_GB2312" w:hAnsi="仿宋_GB2312" w:cs="仿宋_GB2312" w:eastAsia="仿宋_GB2312"/>
                <w:sz w:val="21"/>
                <w:color w:val="000000"/>
              </w:rPr>
              <w:t>的监督检查和整改要求。对发现的问题，应及时进行整改，在整改期间，采购人有权暂停中标单位污泥处置，待整改完成后进行污泥处置，确保依法依规处置污泥。</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、本项目为固定单价合同，最终以实际污泥处置量据实结算。</w:t>
            </w:r>
            <w:r>
              <w:rPr>
                <w:rFonts w:ascii="仿宋_GB2312" w:hAnsi="仿宋_GB2312" w:cs="仿宋_GB2312" w:eastAsia="仿宋_GB2312"/>
                <w:sz w:val="21"/>
                <w:color w:val="000000"/>
              </w:rPr>
              <w:t>第一年期限的合同履行中，结算总金额不得超过</w:t>
            </w:r>
            <w:r>
              <w:rPr>
                <w:rFonts w:ascii="仿宋_GB2312" w:hAnsi="仿宋_GB2312" w:cs="仿宋_GB2312" w:eastAsia="仿宋_GB2312"/>
                <w:sz w:val="21"/>
                <w:color w:val="000000"/>
              </w:rPr>
              <w:t>187万元。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投标报价最高限价单价85元/吨，其中，分项报价中，污泥处置服务费60元/吨，拉运费25元/吨。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服务期三年，合同一年一签。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依据竞争性磋商文件、竞争性磋商响应文件、澄清表（函）、合同内容及附件文本；合同签订时国家及行业现行的标准和技术规范，自行组织验收。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合同签订且完成第一季度工作任务后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完成第二季度工作任务后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完成第三季度工作任务后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完成第四季度工作任务后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3、如有异议另行协商。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响应文件。成交供应商在结果公示结束后2个工作日内向代理机构提供纸质版竞争性磋商响应文件，竞争性磋商响应文件三份。纸质竞争性磋商响应文件均须A4纸打印，分别各自装订成册并编制目录和页码。与电子竞争性磋商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提供2024年度或2025年度经第三方审计的财务报告，至少包括三表一注，即资产负债表、利润表、现金流量表及其附注 (成立时间至提交响应文件截止时间不足一年的可提供成立后任意时段的资产负债表) ；或其响应文件递交截止时间前三个月内基本存款账户开户银行出具的资信证明及开户银行许可证 (或开户行出具的基本户证明材料)；或信用担保机构出具的投标担保函。(以上三种形式的资料提供任何一种即可)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提供截止至响应文件递交截止时间前六个月内任一个月份的社会保障资金缴存单据或社保机构开具的社会保险参保缴费情况证明，依法不需要缴纳社会保障资金的单位应提供相关证明材料。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提供截止至响应文件递交时间前六个月内任一个月份的纳税证明或完税证明，纳税证明或完税证明上应有代收机构或税务机关的公章或业务专用章。依法免税的供应商应提供相关文件证明。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具有履行本合同所必需的设备和专业技术能力，以及污泥处理后符合环保要求的承诺。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法定代表人参加磋商时，提供本人身份证；授权代表参加磋商时，提供法定代表人授权书和被授权人身份证；非法人单位参照执行。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本项目不允许联合体磋商。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只能有一个有效报价、且不超过最高限价</w:t>
            </w:r>
          </w:p>
        </w:tc>
        <w:tc>
          <w:tcPr>
            <w:tcW w:type="dxa" w:w="1661"/>
          </w:tcPr>
          <w:p>
            <w:pPr>
              <w:pStyle w:val="null3"/>
            </w:pPr>
            <w:r>
              <w:rPr>
                <w:rFonts w:ascii="仿宋_GB2312" w:hAnsi="仿宋_GB2312" w:cs="仿宋_GB2312" w:eastAsia="仿宋_GB2312"/>
              </w:rPr>
              <w:t>标的清单.docx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标的清单.docx 标的清单 报价表 服务内容及服务要求应答表.docx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针对本项目有详细、具体、可行的服务实施方案，且满足环保部门相关要求，本项满分15分；方案详细程度高、完善性好、科学合理性优计10.1-15分；方案详细程度一般、完善性较好、科学合理性良计5.1-10分；方案详细程度差、完善性差、科学合理性差计1-5分，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处理方案和技术</w:t>
            </w:r>
          </w:p>
        </w:tc>
        <w:tc>
          <w:tcPr>
            <w:tcW w:type="dxa" w:w="2492"/>
          </w:tcPr>
          <w:p>
            <w:pPr>
              <w:pStyle w:val="null3"/>
            </w:pPr>
            <w:r>
              <w:rPr>
                <w:rFonts w:ascii="仿宋_GB2312" w:hAnsi="仿宋_GB2312" w:cs="仿宋_GB2312" w:eastAsia="仿宋_GB2312"/>
              </w:rPr>
              <w:t>针对本项目污泥处置工艺及技术先进、节能环保、高效，且无二次污染，并符合环保部门相关要求及标准，本项满分15分。处理方案和技术详细、具体、可行，计10.1-15分；处理方案和技术较详细、较具体、较可行，计5.1-10分；处理方案和技术不详细、不具体、不可行计1-5分，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针对拉运、污泥处置、生产运行、检验、设备设施维护保养等方面的管理制度，本项满分10分。管理制度健全，计5.1-10分；管理制度一般或不全面，计1-5分；未提供的不得分。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工作进度计划及保障措施</w:t>
            </w:r>
          </w:p>
        </w:tc>
        <w:tc>
          <w:tcPr>
            <w:tcW w:type="dxa" w:w="2492"/>
          </w:tcPr>
          <w:p>
            <w:pPr>
              <w:pStyle w:val="null3"/>
            </w:pPr>
            <w:r>
              <w:rPr>
                <w:rFonts w:ascii="仿宋_GB2312" w:hAnsi="仿宋_GB2312" w:cs="仿宋_GB2312" w:eastAsia="仿宋_GB2312"/>
              </w:rPr>
              <w:t>根据供应商的工作进度计划及保障措施安排的合理性、可行性进行评价，本项满分10分。计划清晰合理、措施可行，计5.1-10分；基本合理、可行，计1-5分；未提供的不得分。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安全环保措施</w:t>
            </w:r>
          </w:p>
        </w:tc>
        <w:tc>
          <w:tcPr>
            <w:tcW w:type="dxa" w:w="2492"/>
          </w:tcPr>
          <w:p>
            <w:pPr>
              <w:pStyle w:val="null3"/>
            </w:pPr>
            <w:r>
              <w:rPr>
                <w:rFonts w:ascii="仿宋_GB2312" w:hAnsi="仿宋_GB2312" w:cs="仿宋_GB2312" w:eastAsia="仿宋_GB2312"/>
              </w:rPr>
              <w:t>针对本项目在污泥装车现场及拉运过程的安全及环保措施，本项满分10分。措施内容完整、可操作性强、描述详细，计5.1-10分；措施内容一般或描述不详细，计1-5分；未提供的不得分。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服务承诺及现场应急响应措施及预案</w:t>
            </w:r>
          </w:p>
        </w:tc>
        <w:tc>
          <w:tcPr>
            <w:tcW w:type="dxa" w:w="2492"/>
          </w:tcPr>
          <w:p>
            <w:pPr>
              <w:pStyle w:val="null3"/>
            </w:pPr>
            <w:r>
              <w:rPr>
                <w:rFonts w:ascii="仿宋_GB2312" w:hAnsi="仿宋_GB2312" w:cs="仿宋_GB2312" w:eastAsia="仿宋_GB2312"/>
              </w:rPr>
              <w:t>针对本项目有详细的服务承诺及现场应急响应措施及预案，本项满分10分。内容详细可行、完备健全、针对性强、操作性强，计5.1-10分；内容一般、针对性不强、操作性较差，计1-5分；未提供的不得分。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针对本项目有专项服务团队，人员充沛，服务团队配备负责人，主要负责人和项目组成人员具有丰富的经验及相应的技术能力，且岗位分工明确，提供相应证明材料，本项满分5分。人员配备情况完整，适配度高，计2.1-5分；人员配备情况一般，计1-2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2023年1月至今类似项目业绩，每提供一份计1分。此项最高计5分。 注：类似业绩指污泥污水处置类相关业绩。业绩证明材料为中标通知书或合同或验收证明材料等加盖公章的扫描件。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标的清单.docx</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详见附件：标的清单.docx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详见附件：人员配备.docx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