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641899">
      <w:pPr>
        <w:jc w:val="center"/>
        <w:rPr>
          <w:rFonts w:hint="eastAsia"/>
          <w:b/>
          <w:bCs/>
          <w:sz w:val="40"/>
          <w:szCs w:val="48"/>
        </w:rPr>
      </w:pPr>
      <w:r>
        <w:rPr>
          <w:rFonts w:hint="eastAsia"/>
          <w:b/>
          <w:bCs/>
          <w:sz w:val="40"/>
          <w:szCs w:val="48"/>
        </w:rPr>
        <w:t>采购内容及要求</w:t>
      </w:r>
    </w:p>
    <w:p w14:paraId="12F5334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sz w:val="24"/>
          <w:szCs w:val="24"/>
        </w:rPr>
      </w:pPr>
      <w:r>
        <w:rPr>
          <w:rFonts w:hint="eastAsia"/>
          <w:b/>
          <w:bCs/>
          <w:sz w:val="24"/>
          <w:szCs w:val="24"/>
        </w:rPr>
        <w:t>一、工程概况</w:t>
      </w:r>
    </w:p>
    <w:p w14:paraId="6BD29D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本项目为2025年度第三批“千万工程”示范村项目-大王街道办南凿齿村基础设施改造提升，项目建设地点位于西安市鄠邑区大王街道，主要建设内容为：道路铺设沥青混凝土18265.76m²，文化广场建设铺设5mm硅PU420m²、铺设8mmEPDM塑胶步道868m²、铺设石材地面969m²、铺种草坪790.59m²、安装路缘石、护栏等，公共照明设施提升改造安装太阳能路灯40套，道路绿化补植栽种桂花树17柱、栽植豆瓣黄杨235.72m²等，具体改造内容以建设单位要求及工程量清单为准。</w:t>
      </w:r>
      <w:r>
        <w:rPr>
          <w:rFonts w:hint="eastAsia"/>
          <w:sz w:val="24"/>
          <w:szCs w:val="24"/>
        </w:rPr>
        <w:tab/>
      </w:r>
    </w:p>
    <w:p w14:paraId="00C6D8E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sz w:val="24"/>
          <w:szCs w:val="24"/>
        </w:rPr>
      </w:pPr>
      <w:r>
        <w:rPr>
          <w:rFonts w:hint="eastAsia"/>
          <w:b/>
          <w:bCs/>
          <w:sz w:val="24"/>
          <w:szCs w:val="24"/>
        </w:rPr>
        <w:t>二、编制原则</w:t>
      </w:r>
    </w:p>
    <w:p w14:paraId="0CA8B3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1.设计施工图纸；</w:t>
      </w:r>
    </w:p>
    <w:p w14:paraId="50C44B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2.施工设计图中选用的相关标准图集；</w:t>
      </w:r>
    </w:p>
    <w:p w14:paraId="58A96F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3.《陕西省建设工程工程量清单计价标准及计算标准》（2025版）</w:t>
      </w:r>
    </w:p>
    <w:p w14:paraId="236CD8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4.陕西省房屋建筑与装饰工程消耗量定额(2025)、陕西省通用安装工程消耗量定额(2025)、陕西市政工程消耗量定额(2025)、陕西省园林绿化工程消耗量定额(2025)、陕西省城市地下综合管廊工程消耗量定额(2025)、陕西绿色建筑工程消耗量定额(2025)、陕西省建设工程费用规则(2025)；</w:t>
      </w:r>
    </w:p>
    <w:p w14:paraId="583AE1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5.主要材料价格执行《陕西工程造价管理信息鄠邑区信息价》2026年6月。</w:t>
      </w:r>
    </w:p>
    <w:p w14:paraId="3816E13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sz w:val="24"/>
          <w:szCs w:val="24"/>
        </w:rPr>
      </w:pPr>
      <w:r>
        <w:rPr>
          <w:rFonts w:hint="eastAsia"/>
          <w:b/>
          <w:bCs/>
          <w:sz w:val="24"/>
          <w:szCs w:val="24"/>
        </w:rPr>
        <w:t>三、软件版本说明</w:t>
      </w:r>
    </w:p>
    <w:p w14:paraId="095D8B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本工程电子版文件采用广联达计价软件，软件版本号：7.5000.23.3。</w:t>
      </w:r>
    </w:p>
    <w:p w14:paraId="257E83E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sz w:val="24"/>
          <w:szCs w:val="24"/>
        </w:rPr>
      </w:pPr>
      <w:r>
        <w:rPr>
          <w:rFonts w:hint="eastAsia"/>
          <w:b/>
          <w:bCs/>
          <w:sz w:val="24"/>
          <w:szCs w:val="24"/>
        </w:rPr>
        <w:t>四、投标人计价要求</w:t>
      </w:r>
    </w:p>
    <w:p w14:paraId="155B6A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供应商应依据《计价规则》规定和竞争性磋商文件要求进行自主计价。工程量清单计价内容包括分部分项工程费、措施项目费、其它项目费和规费、税金。工程量清单计价以综合单价计价，综合单价应根据《计价规则》的程序组价。</w:t>
      </w:r>
    </w:p>
    <w:p w14:paraId="5823D4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2.工程量清单中的每一个项目都需填入单价，对于没有填入单价或总额价的项目，其费用应视为已包括在工程量的其它单价或总额中、承包人必须按设计文件完成工程量清单中未填入单价或总额价的工程项目。</w:t>
      </w:r>
    </w:p>
    <w:p w14:paraId="1F2724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3.本工程量清单所提供的工程项目其工程内容仅表达了主要工程做法，报价时 各投标单位应依据图纸用料说明、相关图集，结合竞争性磋商文件、技术规范、图纸等文件来进行组价。</w:t>
      </w:r>
    </w:p>
    <w:p w14:paraId="5FB9FE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4.投标人根据《计价规则》规定和响应文件要求格式计价，其中人工费、材料费、机械费，供应商应根据施工组织设计、企业实际情况、市场信息价自主报价。组</w:t>
      </w:r>
      <w:bookmarkStart w:id="0" w:name="_GoBack"/>
      <w:bookmarkEnd w:id="0"/>
      <w:r>
        <w:rPr>
          <w:rFonts w:hint="eastAsia"/>
          <w:sz w:val="24"/>
          <w:szCs w:val="24"/>
        </w:rPr>
        <w:t>价时应充分考虑以下因素：人工费、材料费、机械费社会价格浮动因素，自然灾害及停水、停电、停窝工损失等风险费用。</w:t>
      </w:r>
    </w:p>
    <w:p w14:paraId="28D771C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sz w:val="24"/>
          <w:szCs w:val="24"/>
        </w:rPr>
      </w:pPr>
      <w:r>
        <w:rPr>
          <w:rFonts w:hint="eastAsia"/>
          <w:b/>
          <w:bCs/>
          <w:sz w:val="24"/>
          <w:szCs w:val="24"/>
        </w:rPr>
        <w:t>五、其它需要说明的问题</w:t>
      </w:r>
    </w:p>
    <w:p w14:paraId="010420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1.本项目混凝土按商品混凝土，砂浆按干混预拌砂浆；</w:t>
      </w:r>
    </w:p>
    <w:p w14:paraId="577CB6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2.本项目相关材料、设备的规格、样式、颜色等有设计图纸说明时遵照设计，无说明时由施工单位提供样品，按建设单位选定样品施工。</w:t>
      </w:r>
    </w:p>
    <w:p w14:paraId="50C3E30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sz w:val="24"/>
          <w:szCs w:val="24"/>
        </w:rPr>
      </w:pPr>
      <w:r>
        <w:rPr>
          <w:rFonts w:hint="eastAsia"/>
          <w:b/>
          <w:bCs/>
          <w:sz w:val="24"/>
          <w:szCs w:val="24"/>
        </w:rPr>
        <w:t>六、工程量清单</w:t>
      </w:r>
    </w:p>
    <w:p w14:paraId="3B6910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另附。</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6B72C9"/>
    <w:rsid w:val="4F6B72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2026-10-23T07:10:00Z</dcterms:created>
  <dc:creator>R·</dc:creator>
  <cp:lastModifiedBy>R·</cp:lastModifiedBy>
  <dcterms:modified xsi:type="dcterms:W3CDTF">2026-10-23T07:11:29Z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503337A138494B94AA19E978430F8A71_11</vt:lpwstr>
  </property>
  <property fmtid="{D5CDD505-2E9C-101B-9397-08002B2CF9AE}" pid="4" name="KSOTemplateDocerSaveRecord">
    <vt:lpwstr>eyJoZGlkIjoiY2U2MGYyZWMzYTEzNTg2MTQ1OGQ1NzQ1ZDhkMGM0Y2QiLCJ1c2VySWQiOiI0ODk2NzQ5NDEifQ==</vt:lpwstr>
  </property>
</Properties>
</file>