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8B96B8">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b/>
          <w:bCs w:val="0"/>
          <w:sz w:val="36"/>
          <w:szCs w:val="36"/>
          <w:lang w:val="en-US"/>
        </w:rPr>
      </w:pPr>
      <w:r>
        <w:rPr>
          <w:rFonts w:hint="default" w:ascii="Times New Roman" w:hAnsi="Times New Roman" w:eastAsia="宋体" w:cs="Times New Roman"/>
          <w:b/>
          <w:bCs w:val="0"/>
          <w:kern w:val="2"/>
          <w:sz w:val="36"/>
          <w:szCs w:val="36"/>
          <w:lang w:val="en-US" w:eastAsia="zh-CN" w:bidi="ar"/>
        </w:rPr>
        <w:t>供 货 合 同</w:t>
      </w:r>
    </w:p>
    <w:p w14:paraId="5F8D5E06">
      <w:pPr>
        <w:keepNext w:val="0"/>
        <w:keepLines w:val="0"/>
        <w:widowControl w:val="0"/>
        <w:suppressLineNumbers w:val="0"/>
        <w:spacing w:before="0" w:beforeAutospacing="0" w:after="0" w:afterAutospacing="0" w:line="360" w:lineRule="auto"/>
        <w:ind w:left="0" w:right="0" w:firstLine="420" w:firstLineChars="200"/>
        <w:jc w:val="both"/>
        <w:rPr>
          <w:rFonts w:hint="default" w:ascii="Times New Roman" w:hAnsi="Times New Roman" w:eastAsia="宋体" w:cs="Times New Roman"/>
          <w:szCs w:val="21"/>
          <w:lang w:val="en-US"/>
        </w:rPr>
      </w:pPr>
      <w:r>
        <w:rPr>
          <w:rFonts w:hint="default" w:ascii="Times New Roman" w:hAnsi="Times New Roman" w:eastAsia="宋体" w:cs="Times New Roman"/>
          <w:kern w:val="2"/>
          <w:sz w:val="21"/>
          <w:szCs w:val="24"/>
          <w:lang w:val="en-US" w:eastAsia="zh-CN" w:bidi="ar"/>
        </w:rPr>
        <w:t>甲方： 陕西中医药大学</w:t>
      </w:r>
    </w:p>
    <w:p w14:paraId="4DD9C82F">
      <w:pPr>
        <w:keepNext w:val="0"/>
        <w:keepLines w:val="0"/>
        <w:widowControl w:val="0"/>
        <w:suppressLineNumbers w:val="0"/>
        <w:spacing w:before="0" w:beforeAutospacing="0" w:after="0" w:afterAutospacing="0" w:line="360" w:lineRule="auto"/>
        <w:ind w:left="0" w:right="0" w:firstLine="420" w:firstLineChars="200"/>
        <w:jc w:val="both"/>
        <w:rPr>
          <w:rFonts w:hint="default" w:ascii="Times New Roman" w:hAnsi="Times New Roman" w:eastAsia="宋体" w:cs="Times New Roman"/>
          <w:lang w:val="en-US"/>
        </w:rPr>
      </w:pPr>
      <w:r>
        <w:rPr>
          <w:rFonts w:hint="default" w:ascii="Times New Roman" w:hAnsi="Times New Roman" w:eastAsia="宋体" w:cs="Times New Roman"/>
          <w:kern w:val="2"/>
          <w:sz w:val="21"/>
          <w:szCs w:val="24"/>
          <w:lang w:val="en-US" w:eastAsia="zh-CN" w:bidi="ar"/>
        </w:rPr>
        <w:t>乙方： XXXXXXXXXX</w:t>
      </w:r>
    </w:p>
    <w:p w14:paraId="0DDC9279">
      <w:pPr>
        <w:keepNext w:val="0"/>
        <w:keepLines w:val="0"/>
        <w:widowControl w:val="0"/>
        <w:suppressLineNumbers w:val="0"/>
        <w:spacing w:before="0" w:beforeAutospacing="0" w:after="0" w:afterAutospacing="0" w:line="360" w:lineRule="auto"/>
        <w:ind w:left="0" w:right="0" w:firstLine="420" w:firstLineChars="200"/>
        <w:jc w:val="both"/>
        <w:rPr>
          <w:rFonts w:hint="default" w:ascii="Times New Roman" w:hAnsi="Times New Roman" w:eastAsia="宋体" w:cs="Times New Roman"/>
          <w:lang w:val="en-US"/>
        </w:rPr>
      </w:pPr>
      <w:r>
        <w:rPr>
          <w:rFonts w:hint="default" w:ascii="Times New Roman" w:hAnsi="Times New Roman" w:eastAsia="宋体" w:cs="Times New Roman"/>
          <w:kern w:val="2"/>
          <w:sz w:val="21"/>
          <w:szCs w:val="24"/>
          <w:lang w:val="en-US" w:eastAsia="zh-CN" w:bidi="ar"/>
        </w:rPr>
        <w:t>在陕西省财政厅政府采购管理处的监督管理下，按照政府采购程序组织公开招标，确定乙方为中标供应商。依据《中华人民共和国政府采购法》、《中华人民共和国招标投标法》、《中华人民共和国合同法》以及招标文件、中标供应商的投标文件正本和澄清表（函）、中标通知书，经甲、乙双方协商，达成如下条款：</w:t>
      </w:r>
    </w:p>
    <w:p w14:paraId="7C802C3A">
      <w:pPr>
        <w:keepNext w:val="0"/>
        <w:keepLines w:val="0"/>
        <w:widowControl w:val="0"/>
        <w:suppressLineNumbers w:val="0"/>
        <w:tabs>
          <w:tab w:val="left" w:pos="480"/>
        </w:tabs>
        <w:spacing w:before="0" w:beforeAutospacing="0" w:after="0" w:afterAutospacing="0" w:line="360" w:lineRule="auto"/>
        <w:ind w:left="0" w:right="0" w:firstLine="422" w:firstLineChars="200"/>
        <w:jc w:val="both"/>
        <w:rPr>
          <w:rFonts w:hint="default" w:ascii="Times New Roman" w:hAnsi="Times New Roman" w:eastAsia="宋体" w:cs="Times New Roman"/>
          <w:b/>
          <w:bCs w:val="0"/>
          <w:lang w:val="en-US"/>
        </w:rPr>
      </w:pPr>
      <w:r>
        <w:rPr>
          <w:rFonts w:hint="default" w:ascii="Times New Roman" w:hAnsi="Times New Roman" w:eastAsia="宋体" w:cs="Times New Roman"/>
          <w:b/>
          <w:bCs w:val="0"/>
          <w:kern w:val="2"/>
          <w:sz w:val="21"/>
          <w:szCs w:val="24"/>
          <w:lang w:val="en-US" w:eastAsia="zh-CN" w:bidi="ar"/>
        </w:rPr>
        <w:t>一、合同标的物内容及数量</w:t>
      </w:r>
      <w:r>
        <w:rPr>
          <w:rFonts w:hint="default" w:ascii="Times New Roman" w:hAnsi="Times New Roman" w:eastAsia="宋体" w:cs="Times New Roman"/>
          <w:kern w:val="2"/>
          <w:sz w:val="21"/>
          <w:szCs w:val="24"/>
          <w:lang w:val="en-US" w:eastAsia="zh-CN" w:bidi="ar"/>
        </w:rPr>
        <w:t>（以投标文件正本和标的清单为准）</w:t>
      </w:r>
    </w:p>
    <w:tbl>
      <w:tblPr>
        <w:tblStyle w:val="3"/>
        <w:tblW w:w="79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41"/>
        <w:gridCol w:w="1311"/>
        <w:gridCol w:w="695"/>
        <w:gridCol w:w="854"/>
        <w:gridCol w:w="1294"/>
        <w:gridCol w:w="1281"/>
        <w:gridCol w:w="1730"/>
      </w:tblGrid>
      <w:tr w14:paraId="5A04A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94" w:hRule="atLeast"/>
          <w:jc w:val="center"/>
        </w:trPr>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266DB89B">
            <w:pPr>
              <w:keepNext w:val="0"/>
              <w:keepLines w:val="0"/>
              <w:widowControl w:val="0"/>
              <w:suppressLineNumbers w:val="0"/>
              <w:tabs>
                <w:tab w:val="left" w:pos="480"/>
              </w:tabs>
              <w:spacing w:before="0" w:beforeAutospacing="0" w:after="0" w:afterAutospacing="0" w:line="360" w:lineRule="auto"/>
              <w:ind w:left="0" w:right="0"/>
              <w:jc w:val="center"/>
              <w:rPr>
                <w:rFonts w:hint="default" w:ascii="Times New Roman" w:hAnsi="Times New Roman" w:eastAsia="宋体" w:cs="Times New Roman"/>
                <w:lang w:val="en-US"/>
              </w:rPr>
            </w:pPr>
            <w:r>
              <w:rPr>
                <w:rFonts w:hint="default" w:ascii="Times New Roman" w:hAnsi="Times New Roman" w:eastAsia="宋体" w:cs="Times New Roman"/>
                <w:kern w:val="2"/>
                <w:sz w:val="21"/>
                <w:szCs w:val="24"/>
                <w:lang w:val="en-US" w:eastAsia="zh-CN" w:bidi="ar"/>
              </w:rPr>
              <w:t>序号</w:t>
            </w:r>
          </w:p>
        </w:tc>
        <w:tc>
          <w:tcPr>
            <w:tcW w:w="1311" w:type="dxa"/>
            <w:tcBorders>
              <w:top w:val="single" w:color="auto" w:sz="4" w:space="0"/>
              <w:left w:val="nil"/>
              <w:bottom w:val="single" w:color="auto" w:sz="4" w:space="0"/>
              <w:right w:val="single" w:color="auto" w:sz="4" w:space="0"/>
            </w:tcBorders>
            <w:shd w:val="clear" w:color="auto" w:fill="auto"/>
            <w:vAlign w:val="center"/>
          </w:tcPr>
          <w:p w14:paraId="369F9AFE">
            <w:pPr>
              <w:keepNext w:val="0"/>
              <w:keepLines w:val="0"/>
              <w:widowControl w:val="0"/>
              <w:suppressLineNumbers w:val="0"/>
              <w:tabs>
                <w:tab w:val="left" w:pos="480"/>
              </w:tabs>
              <w:spacing w:before="0" w:beforeAutospacing="0" w:after="0" w:afterAutospacing="0" w:line="360" w:lineRule="auto"/>
              <w:ind w:left="0" w:right="0"/>
              <w:jc w:val="center"/>
              <w:rPr>
                <w:rFonts w:hint="default" w:ascii="Times New Roman" w:hAnsi="Times New Roman" w:eastAsia="宋体" w:cs="Times New Roman"/>
                <w:lang w:val="en-US"/>
              </w:rPr>
            </w:pPr>
            <w:r>
              <w:rPr>
                <w:rFonts w:hint="default" w:ascii="Times New Roman" w:hAnsi="Times New Roman" w:eastAsia="宋体" w:cs="Times New Roman"/>
                <w:kern w:val="2"/>
                <w:sz w:val="21"/>
                <w:szCs w:val="24"/>
                <w:lang w:val="en-US" w:eastAsia="zh-CN" w:bidi="ar"/>
              </w:rPr>
              <w:t>货物名称</w:t>
            </w:r>
          </w:p>
        </w:tc>
        <w:tc>
          <w:tcPr>
            <w:tcW w:w="695" w:type="dxa"/>
            <w:tcBorders>
              <w:top w:val="single" w:color="auto" w:sz="4" w:space="0"/>
              <w:left w:val="nil"/>
              <w:bottom w:val="single" w:color="auto" w:sz="4" w:space="0"/>
              <w:right w:val="single" w:color="auto" w:sz="4" w:space="0"/>
            </w:tcBorders>
            <w:shd w:val="clear" w:color="auto" w:fill="auto"/>
            <w:vAlign w:val="center"/>
          </w:tcPr>
          <w:p w14:paraId="3B7435A6">
            <w:pPr>
              <w:keepNext w:val="0"/>
              <w:keepLines w:val="0"/>
              <w:widowControl w:val="0"/>
              <w:suppressLineNumbers w:val="0"/>
              <w:tabs>
                <w:tab w:val="left" w:pos="480"/>
              </w:tabs>
              <w:spacing w:before="0" w:beforeAutospacing="0" w:after="0" w:afterAutospacing="0" w:line="360" w:lineRule="auto"/>
              <w:ind w:left="0" w:right="0"/>
              <w:jc w:val="center"/>
              <w:rPr>
                <w:rFonts w:hint="default" w:ascii="Times New Roman" w:hAnsi="Times New Roman" w:eastAsia="宋体" w:cs="Times New Roman"/>
                <w:lang w:val="en-US"/>
              </w:rPr>
            </w:pPr>
            <w:r>
              <w:rPr>
                <w:rFonts w:hint="default" w:ascii="Times New Roman" w:hAnsi="Times New Roman" w:eastAsia="宋体" w:cs="Times New Roman"/>
                <w:kern w:val="2"/>
                <w:sz w:val="21"/>
                <w:szCs w:val="24"/>
                <w:lang w:val="en-US" w:eastAsia="zh-CN" w:bidi="ar"/>
              </w:rPr>
              <w:t>数量</w:t>
            </w:r>
          </w:p>
        </w:tc>
        <w:tc>
          <w:tcPr>
            <w:tcW w:w="854" w:type="dxa"/>
            <w:tcBorders>
              <w:top w:val="single" w:color="auto" w:sz="4" w:space="0"/>
              <w:left w:val="nil"/>
              <w:bottom w:val="single" w:color="auto" w:sz="4" w:space="0"/>
              <w:right w:val="single" w:color="auto" w:sz="4" w:space="0"/>
            </w:tcBorders>
            <w:shd w:val="clear" w:color="auto" w:fill="auto"/>
            <w:vAlign w:val="center"/>
          </w:tcPr>
          <w:p w14:paraId="227A3ABE">
            <w:pPr>
              <w:keepNext w:val="0"/>
              <w:keepLines w:val="0"/>
              <w:widowControl w:val="0"/>
              <w:suppressLineNumbers w:val="0"/>
              <w:tabs>
                <w:tab w:val="left" w:pos="480"/>
              </w:tabs>
              <w:spacing w:before="0" w:beforeAutospacing="0" w:after="0" w:afterAutospacing="0" w:line="360" w:lineRule="auto"/>
              <w:ind w:left="0" w:right="0"/>
              <w:jc w:val="center"/>
              <w:rPr>
                <w:rFonts w:hint="default" w:ascii="Times New Roman" w:hAnsi="Times New Roman" w:eastAsia="宋体" w:cs="Times New Roman"/>
                <w:lang w:val="en-US"/>
              </w:rPr>
            </w:pPr>
            <w:r>
              <w:rPr>
                <w:rFonts w:hint="default" w:ascii="Times New Roman" w:hAnsi="Times New Roman" w:eastAsia="宋体" w:cs="Times New Roman"/>
                <w:kern w:val="2"/>
                <w:sz w:val="21"/>
                <w:szCs w:val="24"/>
                <w:lang w:val="en-US" w:eastAsia="zh-CN" w:bidi="ar"/>
              </w:rPr>
              <w:t>产地</w:t>
            </w:r>
          </w:p>
        </w:tc>
        <w:tc>
          <w:tcPr>
            <w:tcW w:w="1294" w:type="dxa"/>
            <w:tcBorders>
              <w:top w:val="single" w:color="auto" w:sz="4" w:space="0"/>
              <w:left w:val="nil"/>
              <w:bottom w:val="single" w:color="auto" w:sz="4" w:space="0"/>
              <w:right w:val="single" w:color="auto" w:sz="4" w:space="0"/>
            </w:tcBorders>
            <w:shd w:val="clear" w:color="auto" w:fill="auto"/>
            <w:vAlign w:val="center"/>
          </w:tcPr>
          <w:p w14:paraId="39A699EC">
            <w:pPr>
              <w:keepNext w:val="0"/>
              <w:keepLines w:val="0"/>
              <w:widowControl w:val="0"/>
              <w:suppressLineNumbers w:val="0"/>
              <w:tabs>
                <w:tab w:val="left" w:pos="480"/>
              </w:tabs>
              <w:spacing w:before="0" w:beforeAutospacing="0" w:after="0" w:afterAutospacing="0"/>
              <w:ind w:left="0" w:right="0"/>
              <w:jc w:val="center"/>
              <w:rPr>
                <w:rFonts w:hint="default" w:ascii="Times New Roman" w:hAnsi="Times New Roman" w:eastAsia="宋体" w:cs="Times New Roman"/>
                <w:lang w:val="en-US"/>
              </w:rPr>
            </w:pPr>
            <w:r>
              <w:rPr>
                <w:rFonts w:hint="default" w:ascii="Times New Roman" w:hAnsi="Times New Roman" w:eastAsia="宋体" w:cs="Times New Roman"/>
                <w:kern w:val="2"/>
                <w:sz w:val="21"/>
                <w:szCs w:val="24"/>
                <w:lang w:val="en-US" w:eastAsia="zh-CN" w:bidi="ar"/>
              </w:rPr>
              <w:t>品牌</w:t>
            </w:r>
          </w:p>
        </w:tc>
        <w:tc>
          <w:tcPr>
            <w:tcW w:w="1281" w:type="dxa"/>
            <w:tcBorders>
              <w:top w:val="single" w:color="auto" w:sz="4" w:space="0"/>
              <w:left w:val="nil"/>
              <w:bottom w:val="single" w:color="auto" w:sz="4" w:space="0"/>
              <w:right w:val="single" w:color="auto" w:sz="4" w:space="0"/>
            </w:tcBorders>
            <w:shd w:val="clear" w:color="auto" w:fill="auto"/>
            <w:vAlign w:val="center"/>
          </w:tcPr>
          <w:p w14:paraId="22A20C1B">
            <w:pPr>
              <w:keepNext w:val="0"/>
              <w:keepLines w:val="0"/>
              <w:widowControl w:val="0"/>
              <w:suppressLineNumbers w:val="0"/>
              <w:tabs>
                <w:tab w:val="left" w:pos="480"/>
              </w:tabs>
              <w:spacing w:before="0" w:beforeAutospacing="0" w:after="0" w:afterAutospacing="0" w:line="360" w:lineRule="auto"/>
              <w:ind w:left="0" w:right="0"/>
              <w:jc w:val="center"/>
              <w:rPr>
                <w:rFonts w:hint="default" w:ascii="Times New Roman" w:hAnsi="Times New Roman" w:eastAsia="宋体" w:cs="Times New Roman"/>
                <w:lang w:val="en-US"/>
              </w:rPr>
            </w:pPr>
            <w:r>
              <w:rPr>
                <w:rFonts w:hint="default" w:ascii="Times New Roman" w:hAnsi="Times New Roman" w:eastAsia="宋体" w:cs="Times New Roman"/>
                <w:kern w:val="2"/>
                <w:sz w:val="21"/>
                <w:szCs w:val="24"/>
                <w:lang w:val="en-US" w:eastAsia="zh-CN" w:bidi="ar"/>
              </w:rPr>
              <w:t>规格型号</w:t>
            </w:r>
          </w:p>
        </w:tc>
        <w:tc>
          <w:tcPr>
            <w:tcW w:w="1730" w:type="dxa"/>
            <w:tcBorders>
              <w:top w:val="single" w:color="auto" w:sz="4" w:space="0"/>
              <w:left w:val="nil"/>
              <w:bottom w:val="single" w:color="auto" w:sz="4" w:space="0"/>
              <w:right w:val="single" w:color="auto" w:sz="4" w:space="0"/>
            </w:tcBorders>
            <w:shd w:val="clear" w:color="auto" w:fill="auto"/>
            <w:vAlign w:val="center"/>
          </w:tcPr>
          <w:p w14:paraId="6F953F58">
            <w:pPr>
              <w:keepNext w:val="0"/>
              <w:keepLines w:val="0"/>
              <w:widowControl w:val="0"/>
              <w:suppressLineNumbers w:val="0"/>
              <w:tabs>
                <w:tab w:val="left" w:pos="480"/>
              </w:tabs>
              <w:spacing w:before="0" w:beforeAutospacing="0" w:after="0" w:afterAutospacing="0" w:line="360" w:lineRule="auto"/>
              <w:ind w:left="0" w:right="0"/>
              <w:jc w:val="center"/>
              <w:rPr>
                <w:rFonts w:hint="default" w:ascii="Times New Roman" w:hAnsi="Times New Roman" w:eastAsia="宋体" w:cs="Times New Roman"/>
                <w:lang w:val="en-US"/>
              </w:rPr>
            </w:pPr>
            <w:r>
              <w:rPr>
                <w:rFonts w:hint="default" w:ascii="Times New Roman" w:hAnsi="Times New Roman" w:eastAsia="宋体" w:cs="Times New Roman"/>
                <w:kern w:val="2"/>
                <w:sz w:val="21"/>
                <w:szCs w:val="24"/>
                <w:lang w:val="en-US" w:eastAsia="zh-CN" w:bidi="ar"/>
              </w:rPr>
              <w:t>价格（万元）</w:t>
            </w:r>
          </w:p>
        </w:tc>
      </w:tr>
      <w:tr w14:paraId="2E9C8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1" w:hRule="atLeast"/>
          <w:jc w:val="center"/>
        </w:trPr>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00A4CA45">
            <w:pPr>
              <w:keepNext w:val="0"/>
              <w:keepLines w:val="0"/>
              <w:widowControl w:val="0"/>
              <w:suppressLineNumbers w:val="0"/>
              <w:spacing w:before="0" w:beforeAutospacing="0" w:after="0" w:afterAutospacing="0" w:line="360" w:lineRule="auto"/>
              <w:ind w:left="0" w:right="-99"/>
              <w:jc w:val="center"/>
              <w:rPr>
                <w:rFonts w:hint="default" w:ascii="Times New Roman" w:hAnsi="Times New Roman" w:eastAsia="宋体" w:cs="Times New Roman"/>
                <w:lang w:val="en-US"/>
              </w:rPr>
            </w:pPr>
            <w:r>
              <w:rPr>
                <w:rFonts w:hint="default" w:ascii="Times New Roman" w:hAnsi="Times New Roman" w:eastAsia="宋体" w:cs="Times New Roman"/>
                <w:kern w:val="2"/>
                <w:sz w:val="21"/>
                <w:szCs w:val="24"/>
                <w:lang w:val="en-US" w:eastAsia="zh-CN" w:bidi="ar"/>
              </w:rPr>
              <w:t>X</w:t>
            </w:r>
          </w:p>
        </w:tc>
        <w:tc>
          <w:tcPr>
            <w:tcW w:w="1311" w:type="dxa"/>
            <w:tcBorders>
              <w:top w:val="single" w:color="auto" w:sz="4" w:space="0"/>
              <w:left w:val="nil"/>
              <w:bottom w:val="single" w:color="auto" w:sz="4" w:space="0"/>
              <w:right w:val="single" w:color="auto" w:sz="4" w:space="0"/>
            </w:tcBorders>
            <w:shd w:val="clear" w:color="auto" w:fill="auto"/>
            <w:vAlign w:val="center"/>
          </w:tcPr>
          <w:p w14:paraId="6292703F">
            <w:pPr>
              <w:keepNext w:val="0"/>
              <w:keepLines w:val="0"/>
              <w:widowControl w:val="0"/>
              <w:suppressLineNumbers w:val="0"/>
              <w:spacing w:before="0" w:beforeAutospacing="0" w:after="0" w:afterAutospacing="0" w:line="360" w:lineRule="auto"/>
              <w:ind w:left="0" w:right="-99" w:firstLine="63" w:firstLineChars="30"/>
              <w:jc w:val="center"/>
              <w:rPr>
                <w:rFonts w:hint="default" w:ascii="Times New Roman" w:hAnsi="Times New Roman" w:eastAsia="宋体" w:cs="Times New Roman"/>
                <w:lang w:val="en-US"/>
              </w:rPr>
            </w:pPr>
            <w:r>
              <w:rPr>
                <w:rFonts w:hint="default" w:ascii="Times New Roman" w:hAnsi="Times New Roman" w:eastAsia="宋体" w:cs="Times New Roman"/>
                <w:kern w:val="2"/>
                <w:sz w:val="21"/>
                <w:szCs w:val="24"/>
                <w:lang w:val="en-US" w:eastAsia="zh-CN" w:bidi="ar"/>
              </w:rPr>
              <w:t>XXXX</w:t>
            </w:r>
          </w:p>
        </w:tc>
        <w:tc>
          <w:tcPr>
            <w:tcW w:w="695" w:type="dxa"/>
            <w:tcBorders>
              <w:top w:val="single" w:color="auto" w:sz="4" w:space="0"/>
              <w:left w:val="nil"/>
              <w:bottom w:val="single" w:color="auto" w:sz="4" w:space="0"/>
              <w:right w:val="single" w:color="auto" w:sz="4" w:space="0"/>
            </w:tcBorders>
            <w:shd w:val="clear" w:color="auto" w:fill="auto"/>
            <w:vAlign w:val="center"/>
          </w:tcPr>
          <w:p w14:paraId="776A8866">
            <w:pPr>
              <w:keepNext w:val="0"/>
              <w:keepLines w:val="0"/>
              <w:widowControl w:val="0"/>
              <w:suppressLineNumbers w:val="0"/>
              <w:spacing w:before="0" w:beforeAutospacing="0" w:after="0" w:afterAutospacing="0" w:line="360" w:lineRule="auto"/>
              <w:ind w:left="0" w:right="-99"/>
              <w:jc w:val="center"/>
              <w:rPr>
                <w:rFonts w:hint="default" w:ascii="Times New Roman" w:hAnsi="Times New Roman" w:eastAsia="宋体" w:cs="Times New Roman"/>
                <w:lang w:val="en-US"/>
              </w:rPr>
            </w:pPr>
            <w:r>
              <w:rPr>
                <w:rFonts w:hint="default" w:ascii="Times New Roman" w:hAnsi="Times New Roman" w:eastAsia="宋体" w:cs="Times New Roman"/>
                <w:kern w:val="2"/>
                <w:sz w:val="21"/>
                <w:szCs w:val="24"/>
                <w:lang w:val="en-US" w:eastAsia="zh-CN" w:bidi="ar"/>
              </w:rPr>
              <w:t>X</w:t>
            </w:r>
          </w:p>
        </w:tc>
        <w:tc>
          <w:tcPr>
            <w:tcW w:w="854" w:type="dxa"/>
            <w:tcBorders>
              <w:top w:val="single" w:color="auto" w:sz="4" w:space="0"/>
              <w:left w:val="nil"/>
              <w:bottom w:val="single" w:color="auto" w:sz="4" w:space="0"/>
              <w:right w:val="single" w:color="auto" w:sz="4" w:space="0"/>
            </w:tcBorders>
            <w:shd w:val="clear" w:color="auto" w:fill="auto"/>
            <w:vAlign w:val="center"/>
          </w:tcPr>
          <w:p w14:paraId="00470CF7">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lang w:val="en-US"/>
              </w:rPr>
            </w:pPr>
            <w:r>
              <w:rPr>
                <w:rFonts w:hint="default" w:ascii="Times New Roman" w:hAnsi="Times New Roman" w:eastAsia="宋体" w:cs="Times New Roman"/>
                <w:kern w:val="2"/>
                <w:sz w:val="21"/>
                <w:szCs w:val="24"/>
                <w:lang w:val="en-US" w:eastAsia="zh-CN" w:bidi="ar"/>
              </w:rPr>
              <w:t>X</w:t>
            </w:r>
          </w:p>
        </w:tc>
        <w:tc>
          <w:tcPr>
            <w:tcW w:w="1294" w:type="dxa"/>
            <w:tcBorders>
              <w:top w:val="single" w:color="auto" w:sz="4" w:space="0"/>
              <w:left w:val="nil"/>
              <w:bottom w:val="single" w:color="auto" w:sz="4" w:space="0"/>
              <w:right w:val="single" w:color="auto" w:sz="4" w:space="0"/>
            </w:tcBorders>
            <w:shd w:val="clear" w:color="auto" w:fill="auto"/>
            <w:vAlign w:val="center"/>
          </w:tcPr>
          <w:p w14:paraId="3AEAD517">
            <w:pPr>
              <w:keepNext w:val="0"/>
              <w:keepLines w:val="0"/>
              <w:widowControl w:val="0"/>
              <w:suppressLineNumbers w:val="0"/>
              <w:tabs>
                <w:tab w:val="left" w:pos="480"/>
              </w:tabs>
              <w:spacing w:before="0" w:beforeAutospacing="0" w:after="0" w:afterAutospacing="0" w:line="360" w:lineRule="auto"/>
              <w:ind w:left="0" w:right="0"/>
              <w:jc w:val="center"/>
              <w:rPr>
                <w:rFonts w:hint="default" w:ascii="Times New Roman" w:hAnsi="Times New Roman" w:eastAsia="宋体" w:cs="Times New Roman"/>
                <w:lang w:val="en-US"/>
              </w:rPr>
            </w:pPr>
            <w:r>
              <w:rPr>
                <w:rFonts w:hint="default" w:ascii="Times New Roman" w:hAnsi="Times New Roman" w:eastAsia="宋体" w:cs="Times New Roman"/>
                <w:kern w:val="2"/>
                <w:sz w:val="21"/>
                <w:szCs w:val="24"/>
                <w:lang w:val="en-US" w:eastAsia="zh-CN" w:bidi="ar"/>
              </w:rPr>
              <w:t>X</w:t>
            </w:r>
          </w:p>
        </w:tc>
        <w:tc>
          <w:tcPr>
            <w:tcW w:w="1281" w:type="dxa"/>
            <w:tcBorders>
              <w:top w:val="single" w:color="auto" w:sz="4" w:space="0"/>
              <w:left w:val="nil"/>
              <w:bottom w:val="single" w:color="auto" w:sz="4" w:space="0"/>
              <w:right w:val="single" w:color="auto" w:sz="4" w:space="0"/>
            </w:tcBorders>
            <w:shd w:val="clear" w:color="auto" w:fill="auto"/>
            <w:vAlign w:val="center"/>
          </w:tcPr>
          <w:p w14:paraId="17BF82A0">
            <w:pPr>
              <w:keepNext w:val="0"/>
              <w:keepLines w:val="0"/>
              <w:widowControl w:val="0"/>
              <w:suppressLineNumbers w:val="0"/>
              <w:tabs>
                <w:tab w:val="left" w:pos="480"/>
              </w:tabs>
              <w:spacing w:before="0" w:beforeAutospacing="0" w:after="0" w:afterAutospacing="0" w:line="360" w:lineRule="auto"/>
              <w:ind w:left="0" w:right="0"/>
              <w:jc w:val="center"/>
              <w:rPr>
                <w:rFonts w:hint="default" w:ascii="Times New Roman" w:hAnsi="Times New Roman" w:eastAsia="宋体" w:cs="Times New Roman"/>
                <w:lang w:val="en-US"/>
              </w:rPr>
            </w:pPr>
            <w:r>
              <w:rPr>
                <w:rFonts w:hint="default" w:ascii="Times New Roman" w:hAnsi="Times New Roman" w:eastAsia="宋体" w:cs="Times New Roman"/>
                <w:kern w:val="2"/>
                <w:sz w:val="21"/>
                <w:szCs w:val="24"/>
                <w:lang w:val="en-US" w:eastAsia="zh-CN" w:bidi="ar"/>
              </w:rPr>
              <w:t>X</w:t>
            </w:r>
          </w:p>
        </w:tc>
        <w:tc>
          <w:tcPr>
            <w:tcW w:w="1730" w:type="dxa"/>
            <w:tcBorders>
              <w:top w:val="single" w:color="auto" w:sz="4" w:space="0"/>
              <w:left w:val="nil"/>
              <w:bottom w:val="single" w:color="auto" w:sz="4" w:space="0"/>
              <w:right w:val="single" w:color="auto" w:sz="4" w:space="0"/>
            </w:tcBorders>
            <w:shd w:val="clear" w:color="auto" w:fill="auto"/>
            <w:vAlign w:val="center"/>
          </w:tcPr>
          <w:p w14:paraId="360BB204">
            <w:pPr>
              <w:keepNext w:val="0"/>
              <w:keepLines w:val="0"/>
              <w:widowControl w:val="0"/>
              <w:suppressLineNumbers w:val="0"/>
              <w:tabs>
                <w:tab w:val="left" w:pos="480"/>
              </w:tabs>
              <w:spacing w:before="0" w:beforeAutospacing="0" w:after="0" w:afterAutospacing="0" w:line="360" w:lineRule="auto"/>
              <w:ind w:left="0" w:right="0"/>
              <w:jc w:val="center"/>
              <w:rPr>
                <w:rFonts w:hint="default" w:ascii="Times New Roman" w:hAnsi="Times New Roman" w:eastAsia="宋体" w:cs="Times New Roman"/>
                <w:lang w:val="en-US"/>
              </w:rPr>
            </w:pPr>
            <w:r>
              <w:rPr>
                <w:rFonts w:hint="default" w:ascii="Times New Roman" w:hAnsi="Times New Roman" w:eastAsia="宋体" w:cs="Times New Roman"/>
                <w:kern w:val="2"/>
                <w:sz w:val="21"/>
                <w:szCs w:val="24"/>
                <w:lang w:val="en-US" w:eastAsia="zh-CN" w:bidi="ar"/>
              </w:rPr>
              <w:t>XX.XX</w:t>
            </w:r>
          </w:p>
        </w:tc>
      </w:tr>
      <w:tr w14:paraId="6D7EE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1" w:hRule="atLeast"/>
          <w:jc w:val="center"/>
        </w:trPr>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2362CDA0">
            <w:pPr>
              <w:keepNext w:val="0"/>
              <w:keepLines w:val="0"/>
              <w:widowControl w:val="0"/>
              <w:suppressLineNumbers w:val="0"/>
              <w:spacing w:before="0" w:beforeAutospacing="0" w:after="0" w:afterAutospacing="0" w:line="360" w:lineRule="auto"/>
              <w:ind w:left="0" w:right="-99"/>
              <w:jc w:val="center"/>
              <w:rPr>
                <w:rFonts w:hint="default" w:ascii="Times New Roman" w:hAnsi="Times New Roman" w:eastAsia="宋体" w:cs="Times New Roman"/>
                <w:lang w:val="en-US"/>
              </w:rPr>
            </w:pPr>
          </w:p>
        </w:tc>
        <w:tc>
          <w:tcPr>
            <w:tcW w:w="1311" w:type="dxa"/>
            <w:tcBorders>
              <w:top w:val="single" w:color="auto" w:sz="4" w:space="0"/>
              <w:left w:val="nil"/>
              <w:bottom w:val="single" w:color="auto" w:sz="4" w:space="0"/>
              <w:right w:val="single" w:color="auto" w:sz="4" w:space="0"/>
            </w:tcBorders>
            <w:shd w:val="clear" w:color="auto" w:fill="auto"/>
            <w:vAlign w:val="center"/>
          </w:tcPr>
          <w:p w14:paraId="39D222B1">
            <w:pPr>
              <w:keepNext w:val="0"/>
              <w:keepLines w:val="0"/>
              <w:widowControl w:val="0"/>
              <w:suppressLineNumbers w:val="0"/>
              <w:spacing w:before="0" w:beforeAutospacing="0" w:after="0" w:afterAutospacing="0" w:line="360" w:lineRule="auto"/>
              <w:ind w:left="0" w:right="-99" w:firstLine="63" w:firstLineChars="30"/>
              <w:jc w:val="center"/>
              <w:rPr>
                <w:rFonts w:hint="default" w:ascii="Times New Roman" w:hAnsi="Times New Roman" w:eastAsia="宋体" w:cs="Times New Roman"/>
                <w:lang w:val="en-US"/>
              </w:rPr>
            </w:pPr>
          </w:p>
        </w:tc>
        <w:tc>
          <w:tcPr>
            <w:tcW w:w="695" w:type="dxa"/>
            <w:tcBorders>
              <w:top w:val="single" w:color="auto" w:sz="4" w:space="0"/>
              <w:left w:val="nil"/>
              <w:bottom w:val="single" w:color="auto" w:sz="4" w:space="0"/>
              <w:right w:val="single" w:color="auto" w:sz="4" w:space="0"/>
            </w:tcBorders>
            <w:shd w:val="clear" w:color="auto" w:fill="auto"/>
            <w:vAlign w:val="center"/>
          </w:tcPr>
          <w:p w14:paraId="2222602D">
            <w:pPr>
              <w:keepNext w:val="0"/>
              <w:keepLines w:val="0"/>
              <w:widowControl w:val="0"/>
              <w:suppressLineNumbers w:val="0"/>
              <w:spacing w:before="0" w:beforeAutospacing="0" w:after="0" w:afterAutospacing="0" w:line="360" w:lineRule="auto"/>
              <w:ind w:left="0" w:right="-99"/>
              <w:jc w:val="center"/>
              <w:rPr>
                <w:rFonts w:hint="default" w:ascii="Times New Roman" w:hAnsi="Times New Roman" w:eastAsia="宋体" w:cs="Times New Roman"/>
                <w:lang w:val="en-US"/>
              </w:rPr>
            </w:pPr>
          </w:p>
        </w:tc>
        <w:tc>
          <w:tcPr>
            <w:tcW w:w="854" w:type="dxa"/>
            <w:tcBorders>
              <w:top w:val="single" w:color="auto" w:sz="4" w:space="0"/>
              <w:left w:val="nil"/>
              <w:bottom w:val="single" w:color="auto" w:sz="4" w:space="0"/>
              <w:right w:val="single" w:color="auto" w:sz="4" w:space="0"/>
            </w:tcBorders>
            <w:shd w:val="clear" w:color="auto" w:fill="auto"/>
            <w:vAlign w:val="center"/>
          </w:tcPr>
          <w:p w14:paraId="77D37EAC">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lang w:val="en-US"/>
              </w:rPr>
            </w:pPr>
          </w:p>
        </w:tc>
        <w:tc>
          <w:tcPr>
            <w:tcW w:w="1294" w:type="dxa"/>
            <w:tcBorders>
              <w:top w:val="single" w:color="auto" w:sz="4" w:space="0"/>
              <w:left w:val="nil"/>
              <w:bottom w:val="single" w:color="auto" w:sz="4" w:space="0"/>
              <w:right w:val="single" w:color="auto" w:sz="4" w:space="0"/>
            </w:tcBorders>
            <w:shd w:val="clear" w:color="auto" w:fill="auto"/>
            <w:vAlign w:val="center"/>
          </w:tcPr>
          <w:p w14:paraId="6E772D9B">
            <w:pPr>
              <w:keepNext w:val="0"/>
              <w:keepLines w:val="0"/>
              <w:widowControl w:val="0"/>
              <w:suppressLineNumbers w:val="0"/>
              <w:tabs>
                <w:tab w:val="left" w:pos="480"/>
              </w:tabs>
              <w:spacing w:before="0" w:beforeAutospacing="0" w:after="0" w:afterAutospacing="0" w:line="360" w:lineRule="auto"/>
              <w:ind w:left="0" w:right="0"/>
              <w:jc w:val="center"/>
              <w:rPr>
                <w:rFonts w:hint="default" w:ascii="Times New Roman" w:hAnsi="Times New Roman" w:eastAsia="宋体" w:cs="Times New Roman"/>
                <w:lang w:val="en-US"/>
              </w:rPr>
            </w:pPr>
          </w:p>
        </w:tc>
        <w:tc>
          <w:tcPr>
            <w:tcW w:w="1281" w:type="dxa"/>
            <w:tcBorders>
              <w:top w:val="single" w:color="auto" w:sz="4" w:space="0"/>
              <w:left w:val="nil"/>
              <w:bottom w:val="single" w:color="auto" w:sz="4" w:space="0"/>
              <w:right w:val="single" w:color="auto" w:sz="4" w:space="0"/>
            </w:tcBorders>
            <w:shd w:val="clear" w:color="auto" w:fill="auto"/>
            <w:vAlign w:val="center"/>
          </w:tcPr>
          <w:p w14:paraId="24011855">
            <w:pPr>
              <w:keepNext w:val="0"/>
              <w:keepLines w:val="0"/>
              <w:widowControl w:val="0"/>
              <w:suppressLineNumbers w:val="0"/>
              <w:tabs>
                <w:tab w:val="left" w:pos="480"/>
              </w:tabs>
              <w:spacing w:before="0" w:beforeAutospacing="0" w:after="0" w:afterAutospacing="0" w:line="360" w:lineRule="auto"/>
              <w:ind w:left="0" w:right="0"/>
              <w:jc w:val="center"/>
              <w:rPr>
                <w:rFonts w:hint="default" w:ascii="Times New Roman" w:hAnsi="Times New Roman" w:eastAsia="宋体" w:cs="Times New Roman"/>
                <w:lang w:val="en-US"/>
              </w:rPr>
            </w:pPr>
          </w:p>
        </w:tc>
        <w:tc>
          <w:tcPr>
            <w:tcW w:w="1730" w:type="dxa"/>
            <w:tcBorders>
              <w:top w:val="single" w:color="auto" w:sz="4" w:space="0"/>
              <w:left w:val="nil"/>
              <w:bottom w:val="single" w:color="auto" w:sz="4" w:space="0"/>
              <w:right w:val="single" w:color="auto" w:sz="4" w:space="0"/>
            </w:tcBorders>
            <w:shd w:val="clear" w:color="auto" w:fill="auto"/>
            <w:vAlign w:val="center"/>
          </w:tcPr>
          <w:p w14:paraId="36970471">
            <w:pPr>
              <w:keepNext w:val="0"/>
              <w:keepLines w:val="0"/>
              <w:widowControl w:val="0"/>
              <w:suppressLineNumbers w:val="0"/>
              <w:tabs>
                <w:tab w:val="left" w:pos="480"/>
              </w:tabs>
              <w:spacing w:before="0" w:beforeAutospacing="0" w:after="0" w:afterAutospacing="0" w:line="360" w:lineRule="auto"/>
              <w:ind w:left="0" w:right="0"/>
              <w:jc w:val="center"/>
              <w:rPr>
                <w:rFonts w:hint="default" w:ascii="Times New Roman" w:hAnsi="Times New Roman" w:eastAsia="宋体" w:cs="Times New Roman"/>
                <w:lang w:val="en-US"/>
              </w:rPr>
            </w:pPr>
          </w:p>
        </w:tc>
      </w:tr>
      <w:tr w14:paraId="7DBB1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1" w:hRule="atLeast"/>
          <w:jc w:val="center"/>
        </w:trPr>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597E933C">
            <w:pPr>
              <w:keepNext w:val="0"/>
              <w:keepLines w:val="0"/>
              <w:widowControl w:val="0"/>
              <w:suppressLineNumbers w:val="0"/>
              <w:spacing w:before="0" w:beforeAutospacing="0" w:after="0" w:afterAutospacing="0" w:line="360" w:lineRule="auto"/>
              <w:ind w:left="0" w:right="-99"/>
              <w:jc w:val="center"/>
              <w:rPr>
                <w:rFonts w:hint="default" w:ascii="Times New Roman" w:hAnsi="Times New Roman" w:eastAsia="宋体" w:cs="Times New Roman"/>
                <w:lang w:val="en-US"/>
              </w:rPr>
            </w:pPr>
          </w:p>
        </w:tc>
        <w:tc>
          <w:tcPr>
            <w:tcW w:w="1311" w:type="dxa"/>
            <w:tcBorders>
              <w:top w:val="single" w:color="auto" w:sz="4" w:space="0"/>
              <w:left w:val="nil"/>
              <w:bottom w:val="single" w:color="auto" w:sz="4" w:space="0"/>
              <w:right w:val="single" w:color="auto" w:sz="4" w:space="0"/>
            </w:tcBorders>
            <w:shd w:val="clear" w:color="auto" w:fill="auto"/>
            <w:vAlign w:val="center"/>
          </w:tcPr>
          <w:p w14:paraId="14282D03">
            <w:pPr>
              <w:keepNext w:val="0"/>
              <w:keepLines w:val="0"/>
              <w:widowControl w:val="0"/>
              <w:suppressLineNumbers w:val="0"/>
              <w:spacing w:before="0" w:beforeAutospacing="0" w:after="0" w:afterAutospacing="0" w:line="360" w:lineRule="auto"/>
              <w:ind w:left="0" w:right="-99" w:firstLine="63" w:firstLineChars="30"/>
              <w:jc w:val="center"/>
              <w:rPr>
                <w:rFonts w:hint="default" w:ascii="Times New Roman" w:hAnsi="Times New Roman" w:eastAsia="宋体" w:cs="Times New Roman"/>
                <w:lang w:val="en-US"/>
              </w:rPr>
            </w:pPr>
          </w:p>
        </w:tc>
        <w:tc>
          <w:tcPr>
            <w:tcW w:w="695" w:type="dxa"/>
            <w:tcBorders>
              <w:top w:val="single" w:color="auto" w:sz="4" w:space="0"/>
              <w:left w:val="nil"/>
              <w:bottom w:val="single" w:color="auto" w:sz="4" w:space="0"/>
              <w:right w:val="single" w:color="auto" w:sz="4" w:space="0"/>
            </w:tcBorders>
            <w:shd w:val="clear" w:color="auto" w:fill="auto"/>
            <w:vAlign w:val="center"/>
          </w:tcPr>
          <w:p w14:paraId="71B92137">
            <w:pPr>
              <w:keepNext w:val="0"/>
              <w:keepLines w:val="0"/>
              <w:widowControl w:val="0"/>
              <w:suppressLineNumbers w:val="0"/>
              <w:spacing w:before="0" w:beforeAutospacing="0" w:after="0" w:afterAutospacing="0" w:line="360" w:lineRule="auto"/>
              <w:ind w:left="0" w:right="-99"/>
              <w:jc w:val="center"/>
              <w:rPr>
                <w:rFonts w:hint="default" w:ascii="Times New Roman" w:hAnsi="Times New Roman" w:eastAsia="宋体" w:cs="Times New Roman"/>
                <w:lang w:val="en-US"/>
              </w:rPr>
            </w:pPr>
          </w:p>
        </w:tc>
        <w:tc>
          <w:tcPr>
            <w:tcW w:w="854" w:type="dxa"/>
            <w:tcBorders>
              <w:top w:val="single" w:color="auto" w:sz="4" w:space="0"/>
              <w:left w:val="nil"/>
              <w:bottom w:val="single" w:color="auto" w:sz="4" w:space="0"/>
              <w:right w:val="single" w:color="auto" w:sz="4" w:space="0"/>
            </w:tcBorders>
            <w:shd w:val="clear" w:color="auto" w:fill="auto"/>
            <w:vAlign w:val="center"/>
          </w:tcPr>
          <w:p w14:paraId="39FCBCE2">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lang w:val="en-US"/>
              </w:rPr>
            </w:pPr>
          </w:p>
        </w:tc>
        <w:tc>
          <w:tcPr>
            <w:tcW w:w="1294" w:type="dxa"/>
            <w:tcBorders>
              <w:top w:val="single" w:color="auto" w:sz="4" w:space="0"/>
              <w:left w:val="nil"/>
              <w:bottom w:val="single" w:color="auto" w:sz="4" w:space="0"/>
              <w:right w:val="single" w:color="auto" w:sz="4" w:space="0"/>
            </w:tcBorders>
            <w:shd w:val="clear" w:color="auto" w:fill="auto"/>
            <w:vAlign w:val="center"/>
          </w:tcPr>
          <w:p w14:paraId="3C1F78AE">
            <w:pPr>
              <w:keepNext w:val="0"/>
              <w:keepLines w:val="0"/>
              <w:widowControl w:val="0"/>
              <w:suppressLineNumbers w:val="0"/>
              <w:tabs>
                <w:tab w:val="left" w:pos="480"/>
              </w:tabs>
              <w:spacing w:before="0" w:beforeAutospacing="0" w:after="0" w:afterAutospacing="0" w:line="360" w:lineRule="auto"/>
              <w:ind w:left="0" w:right="0"/>
              <w:jc w:val="center"/>
              <w:rPr>
                <w:rFonts w:hint="default" w:ascii="Times New Roman" w:hAnsi="Times New Roman" w:eastAsia="宋体" w:cs="Times New Roman"/>
                <w:lang w:val="en-US"/>
              </w:rPr>
            </w:pPr>
          </w:p>
        </w:tc>
        <w:tc>
          <w:tcPr>
            <w:tcW w:w="1281" w:type="dxa"/>
            <w:tcBorders>
              <w:top w:val="single" w:color="auto" w:sz="4" w:space="0"/>
              <w:left w:val="nil"/>
              <w:bottom w:val="single" w:color="auto" w:sz="4" w:space="0"/>
              <w:right w:val="single" w:color="auto" w:sz="4" w:space="0"/>
            </w:tcBorders>
            <w:shd w:val="clear" w:color="auto" w:fill="auto"/>
            <w:vAlign w:val="center"/>
          </w:tcPr>
          <w:p w14:paraId="55A21A01">
            <w:pPr>
              <w:keepNext w:val="0"/>
              <w:keepLines w:val="0"/>
              <w:widowControl w:val="0"/>
              <w:suppressLineNumbers w:val="0"/>
              <w:tabs>
                <w:tab w:val="left" w:pos="480"/>
              </w:tabs>
              <w:spacing w:before="0" w:beforeAutospacing="0" w:after="0" w:afterAutospacing="0" w:line="360" w:lineRule="auto"/>
              <w:ind w:left="0" w:right="0"/>
              <w:jc w:val="center"/>
              <w:rPr>
                <w:rFonts w:hint="default" w:ascii="Times New Roman" w:hAnsi="Times New Roman" w:eastAsia="宋体" w:cs="Times New Roman"/>
                <w:lang w:val="en-US"/>
              </w:rPr>
            </w:pPr>
          </w:p>
        </w:tc>
        <w:tc>
          <w:tcPr>
            <w:tcW w:w="1730" w:type="dxa"/>
            <w:tcBorders>
              <w:top w:val="single" w:color="auto" w:sz="4" w:space="0"/>
              <w:left w:val="nil"/>
              <w:bottom w:val="single" w:color="auto" w:sz="4" w:space="0"/>
              <w:right w:val="single" w:color="auto" w:sz="4" w:space="0"/>
            </w:tcBorders>
            <w:shd w:val="clear" w:color="auto" w:fill="auto"/>
            <w:vAlign w:val="center"/>
          </w:tcPr>
          <w:p w14:paraId="65C7DF18">
            <w:pPr>
              <w:keepNext w:val="0"/>
              <w:keepLines w:val="0"/>
              <w:widowControl w:val="0"/>
              <w:suppressLineNumbers w:val="0"/>
              <w:tabs>
                <w:tab w:val="left" w:pos="480"/>
              </w:tabs>
              <w:spacing w:before="0" w:beforeAutospacing="0" w:after="0" w:afterAutospacing="0" w:line="360" w:lineRule="auto"/>
              <w:ind w:left="0" w:right="0"/>
              <w:jc w:val="center"/>
              <w:rPr>
                <w:rFonts w:hint="default" w:ascii="Times New Roman" w:hAnsi="Times New Roman" w:eastAsia="宋体" w:cs="Times New Roman"/>
                <w:lang w:val="en-US"/>
              </w:rPr>
            </w:pPr>
          </w:p>
        </w:tc>
      </w:tr>
      <w:tr w14:paraId="1C5C5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48" w:hRule="atLeast"/>
          <w:jc w:val="center"/>
        </w:trPr>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74EB7AB6">
            <w:pPr>
              <w:keepNext w:val="0"/>
              <w:keepLines w:val="0"/>
              <w:widowControl w:val="0"/>
              <w:suppressLineNumbers w:val="0"/>
              <w:tabs>
                <w:tab w:val="left" w:pos="480"/>
              </w:tabs>
              <w:spacing w:before="0" w:beforeAutospacing="0" w:after="0" w:afterAutospacing="0" w:line="360" w:lineRule="auto"/>
              <w:ind w:left="0" w:right="0"/>
              <w:jc w:val="center"/>
              <w:rPr>
                <w:rFonts w:hint="default" w:ascii="Times New Roman" w:hAnsi="Times New Roman" w:eastAsia="宋体" w:cs="Times New Roman"/>
                <w:lang w:val="en-US"/>
              </w:rPr>
            </w:pPr>
            <w:r>
              <w:rPr>
                <w:rFonts w:hint="default" w:ascii="Times New Roman" w:hAnsi="Times New Roman" w:eastAsia="宋体" w:cs="Times New Roman"/>
                <w:kern w:val="2"/>
                <w:sz w:val="21"/>
                <w:szCs w:val="24"/>
                <w:lang w:val="en-US" w:eastAsia="zh-CN" w:bidi="ar"/>
              </w:rPr>
              <w:t>说明</w:t>
            </w:r>
          </w:p>
        </w:tc>
        <w:tc>
          <w:tcPr>
            <w:tcW w:w="7165" w:type="dxa"/>
            <w:gridSpan w:val="6"/>
            <w:tcBorders>
              <w:top w:val="single" w:color="auto" w:sz="4" w:space="0"/>
              <w:left w:val="nil"/>
              <w:bottom w:val="single" w:color="auto" w:sz="4" w:space="0"/>
              <w:right w:val="single" w:color="auto" w:sz="4" w:space="0"/>
            </w:tcBorders>
            <w:shd w:val="clear" w:color="auto" w:fill="auto"/>
            <w:vAlign w:val="center"/>
          </w:tcPr>
          <w:p w14:paraId="721F485C">
            <w:pPr>
              <w:keepNext w:val="0"/>
              <w:keepLines w:val="0"/>
              <w:widowControl w:val="0"/>
              <w:suppressLineNumbers w:val="0"/>
              <w:tabs>
                <w:tab w:val="left" w:pos="480"/>
              </w:tabs>
              <w:spacing w:before="0" w:beforeAutospacing="0" w:after="0" w:afterAutospacing="0" w:line="360" w:lineRule="auto"/>
              <w:ind w:left="0" w:right="0"/>
              <w:jc w:val="center"/>
              <w:rPr>
                <w:rFonts w:hint="default" w:ascii="Times New Roman" w:hAnsi="Times New Roman" w:eastAsia="宋体" w:cs="Times New Roman"/>
                <w:lang w:val="en-US"/>
              </w:rPr>
            </w:pPr>
            <w:r>
              <w:rPr>
                <w:rFonts w:hint="default" w:ascii="Times New Roman" w:hAnsi="Times New Roman" w:eastAsia="宋体" w:cs="Times New Roman"/>
                <w:kern w:val="2"/>
                <w:sz w:val="21"/>
                <w:szCs w:val="24"/>
                <w:lang w:val="en-US" w:eastAsia="zh-CN" w:bidi="ar"/>
              </w:rPr>
              <w:t>X</w:t>
            </w:r>
          </w:p>
        </w:tc>
      </w:tr>
    </w:tbl>
    <w:p w14:paraId="70608A01">
      <w:pPr>
        <w:keepNext w:val="0"/>
        <w:keepLines w:val="0"/>
        <w:widowControl w:val="0"/>
        <w:suppressLineNumbers w:val="0"/>
        <w:tabs>
          <w:tab w:val="left" w:pos="480"/>
        </w:tabs>
        <w:spacing w:before="0" w:beforeAutospacing="0" w:after="0" w:afterAutospacing="0" w:line="360" w:lineRule="auto"/>
        <w:ind w:left="0" w:right="0" w:firstLine="413" w:firstLineChars="196"/>
        <w:jc w:val="both"/>
        <w:rPr>
          <w:rFonts w:hint="default" w:ascii="Times New Roman" w:hAnsi="Times New Roman" w:eastAsia="宋体" w:cs="Times New Roman"/>
          <w:b/>
          <w:bCs w:val="0"/>
          <w:szCs w:val="21"/>
          <w:lang w:val="en-US"/>
        </w:rPr>
      </w:pPr>
      <w:r>
        <w:rPr>
          <w:rFonts w:hint="default" w:ascii="Times New Roman" w:hAnsi="Times New Roman" w:eastAsia="宋体" w:cs="Times New Roman"/>
          <w:b/>
          <w:bCs w:val="0"/>
          <w:kern w:val="2"/>
          <w:sz w:val="21"/>
          <w:szCs w:val="24"/>
          <w:lang w:val="en-US" w:eastAsia="zh-CN" w:bidi="ar"/>
        </w:rPr>
        <w:t>二、合同价款</w:t>
      </w:r>
    </w:p>
    <w:p w14:paraId="3165996A">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lang w:val="en-US"/>
        </w:rPr>
      </w:pPr>
      <w:r>
        <w:rPr>
          <w:rFonts w:hint="default" w:ascii="Times New Roman" w:hAnsi="Times New Roman" w:eastAsia="宋体" w:cs="Times New Roman"/>
          <w:kern w:val="2"/>
          <w:sz w:val="21"/>
          <w:szCs w:val="24"/>
          <w:lang w:val="en-US" w:eastAsia="zh-CN" w:bidi="ar"/>
        </w:rPr>
        <w:t>（一）合同总价款为人民币（大写）</w:t>
      </w:r>
      <w:r>
        <w:rPr>
          <w:rFonts w:hint="default" w:ascii="Times New Roman" w:hAnsi="Times New Roman" w:eastAsia="宋体" w:cs="Times New Roman"/>
          <w:kern w:val="2"/>
          <w:sz w:val="21"/>
          <w:szCs w:val="24"/>
          <w:u w:val="single"/>
          <w:lang w:val="en-US" w:eastAsia="zh-CN" w:bidi="ar"/>
        </w:rPr>
        <w:t xml:space="preserve">XXXXXXXXXXXXX </w:t>
      </w:r>
      <w:r>
        <w:rPr>
          <w:rFonts w:hint="default" w:ascii="Times New Roman" w:hAnsi="Times New Roman" w:eastAsia="宋体" w:cs="Times New Roman"/>
          <w:kern w:val="2"/>
          <w:sz w:val="21"/>
          <w:szCs w:val="24"/>
          <w:lang w:val="en-US" w:eastAsia="zh-CN" w:bidi="ar"/>
        </w:rPr>
        <w:t>元整（￥</w:t>
      </w:r>
      <w:r>
        <w:rPr>
          <w:rFonts w:hint="default" w:ascii="Times New Roman" w:hAnsi="Times New Roman" w:eastAsia="宋体" w:cs="Times New Roman"/>
          <w:kern w:val="2"/>
          <w:sz w:val="21"/>
          <w:szCs w:val="24"/>
          <w:u w:val="single"/>
          <w:lang w:val="en-US" w:eastAsia="zh-CN" w:bidi="ar"/>
        </w:rPr>
        <w:t xml:space="preserve"> XXXX.XX</w:t>
      </w:r>
      <w:r>
        <w:rPr>
          <w:rFonts w:hint="default" w:ascii="Times New Roman" w:hAnsi="Times New Roman" w:eastAsia="宋体" w:cs="Times New Roman"/>
          <w:kern w:val="2"/>
          <w:sz w:val="21"/>
          <w:szCs w:val="24"/>
          <w:lang w:val="en-US" w:eastAsia="zh-CN" w:bidi="ar"/>
        </w:rPr>
        <w:t>元）。</w:t>
      </w:r>
    </w:p>
    <w:p w14:paraId="2FB966FC">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lang w:val="en-US"/>
        </w:rPr>
      </w:pPr>
      <w:r>
        <w:rPr>
          <w:rFonts w:hint="default" w:ascii="Times New Roman" w:hAnsi="Times New Roman" w:eastAsia="宋体" w:cs="Times New Roman"/>
          <w:kern w:val="2"/>
          <w:sz w:val="21"/>
          <w:szCs w:val="24"/>
          <w:lang w:val="en-US" w:eastAsia="zh-CN" w:bidi="ar"/>
        </w:rPr>
        <w:t>（二）合同总价包括：完成本次采购货物（设备本体及附件、备品备件及专用工具）的供货、安装（包含所需的配件及辅材等）、调试、验收、试运行、售后服务及税金等一切费用。</w:t>
      </w:r>
    </w:p>
    <w:p w14:paraId="4642CEF2">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lang w:val="en-US"/>
        </w:rPr>
      </w:pPr>
      <w:r>
        <w:rPr>
          <w:rFonts w:hint="default" w:ascii="Times New Roman" w:hAnsi="Times New Roman" w:eastAsia="宋体" w:cs="Times New Roman"/>
          <w:kern w:val="2"/>
          <w:sz w:val="21"/>
          <w:szCs w:val="24"/>
          <w:lang w:val="en-US" w:eastAsia="zh-CN" w:bidi="ar"/>
        </w:rPr>
        <w:t>（三）合同总价一次性包死，不受市场价格变化因素的影响。</w:t>
      </w:r>
      <w:bookmarkStart w:id="0" w:name="_GoBack"/>
      <w:bookmarkEnd w:id="0"/>
    </w:p>
    <w:p w14:paraId="65809F44">
      <w:pPr>
        <w:keepNext w:val="0"/>
        <w:keepLines w:val="0"/>
        <w:widowControl w:val="0"/>
        <w:suppressLineNumbers w:val="0"/>
        <w:tabs>
          <w:tab w:val="left" w:pos="480"/>
        </w:tabs>
        <w:spacing w:before="0" w:beforeAutospacing="0" w:after="0" w:afterAutospacing="0" w:line="360" w:lineRule="auto"/>
        <w:ind w:left="0" w:right="0" w:firstLine="413" w:firstLineChars="196"/>
        <w:jc w:val="both"/>
        <w:rPr>
          <w:rFonts w:hint="default" w:ascii="Times New Roman" w:hAnsi="Times New Roman" w:eastAsia="宋体" w:cs="Times New Roman"/>
          <w:b/>
          <w:bCs w:val="0"/>
          <w:lang w:val="en-US"/>
        </w:rPr>
      </w:pPr>
      <w:r>
        <w:rPr>
          <w:rFonts w:hint="default" w:ascii="Times New Roman" w:hAnsi="Times New Roman" w:eastAsia="宋体" w:cs="Times New Roman"/>
          <w:b/>
          <w:bCs w:val="0"/>
          <w:kern w:val="2"/>
          <w:sz w:val="21"/>
          <w:szCs w:val="24"/>
          <w:lang w:val="en-US" w:eastAsia="zh-CN" w:bidi="ar"/>
        </w:rPr>
        <w:t>三、款项结算</w:t>
      </w:r>
    </w:p>
    <w:p w14:paraId="2864C2FC">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kern w:val="2"/>
          <w:sz w:val="21"/>
          <w:szCs w:val="24"/>
          <w:highlight w:val="none"/>
          <w:lang w:val="en-US" w:eastAsia="zh-CN" w:bidi="ar"/>
        </w:rPr>
      </w:pPr>
      <w:r>
        <w:rPr>
          <w:rFonts w:hint="default" w:ascii="Times New Roman" w:hAnsi="Times New Roman" w:eastAsia="宋体" w:cs="Times New Roman"/>
          <w:bCs/>
          <w:kern w:val="2"/>
          <w:sz w:val="21"/>
          <w:szCs w:val="24"/>
          <w:highlight w:val="none"/>
          <w:lang w:val="en-US" w:eastAsia="zh-CN" w:bidi="ar"/>
        </w:rPr>
        <w:t>（一）付款方式：本项目履约保证金为合同总额的3%，合同签订后5日内，乙方向甲方足额交付履约保证金后，甲方将货款汇入乙方开立的监管账户，甲乙双方与监管银行共同管理货款资金。货物到校开箱核验后，凭甲方开箱报告（结论为合格）解付合同额70%，待设备运行甲方验收合格后，乙凭甲方验收报告（结论为合格）解付合同额30%。</w:t>
      </w:r>
    </w:p>
    <w:p w14:paraId="45AF14E1">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kern w:val="2"/>
          <w:sz w:val="21"/>
          <w:szCs w:val="24"/>
          <w:highlight w:val="none"/>
          <w:lang w:val="en-US" w:eastAsia="zh-CN" w:bidi="ar"/>
        </w:rPr>
      </w:pPr>
      <w:r>
        <w:rPr>
          <w:rFonts w:hint="default" w:ascii="Times New Roman" w:hAnsi="Times New Roman" w:eastAsia="宋体" w:cs="Times New Roman"/>
          <w:bCs/>
          <w:kern w:val="2"/>
          <w:sz w:val="21"/>
          <w:szCs w:val="24"/>
          <w:highlight w:val="none"/>
          <w:lang w:val="en-US" w:eastAsia="zh-CN" w:bidi="ar"/>
        </w:rPr>
        <w:t>（二）乙方需在本合同签署完毕前，缴纳合同总金额 3% 的款项作为履约保证金，具体金额为：人民币大写__________元整（¥__________元）。 自项目整体验收合格之日起计算，届满一年且未出现质量缺陷、违约情形的，履约保证金由甲方无息全额一次性返还乙方。</w:t>
      </w:r>
    </w:p>
    <w:p w14:paraId="772D0542">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（三）支付方式：银行转帐。乙方要如实开具发票，不得变更开票内容，乙方开具发票出现税务争议时，乙方需承担税款、滞纳金、罚款等赔偿责任以及其他相关责任。</w:t>
      </w:r>
    </w:p>
    <w:p w14:paraId="53596CF4">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（四）结算方式：验收合格后填写政府采购项目验收单（一式捌份）, 持成交通知书、供货合同、发票（按合同总价直开甲方）、政府采购项目验收单，到甲方办理资金结算。</w:t>
      </w:r>
    </w:p>
    <w:p w14:paraId="539C181A">
      <w:pPr>
        <w:keepNext w:val="0"/>
        <w:keepLines w:val="0"/>
        <w:widowControl w:val="0"/>
        <w:suppressLineNumbers w:val="0"/>
        <w:tabs>
          <w:tab w:val="left" w:pos="480"/>
        </w:tabs>
        <w:spacing w:before="0" w:beforeAutospacing="0" w:after="0" w:afterAutospacing="0" w:line="360" w:lineRule="auto"/>
        <w:ind w:left="0" w:right="0" w:firstLine="413" w:firstLineChars="196"/>
        <w:jc w:val="both"/>
        <w:rPr>
          <w:rFonts w:hint="default" w:ascii="Times New Roman" w:hAnsi="Times New Roman" w:eastAsia="宋体" w:cs="Times New Roman"/>
          <w:b/>
          <w:bCs w:val="0"/>
          <w:lang w:val="en-US"/>
        </w:rPr>
      </w:pPr>
      <w:r>
        <w:rPr>
          <w:rFonts w:hint="default" w:ascii="Times New Roman" w:hAnsi="Times New Roman" w:eastAsia="宋体" w:cs="Times New Roman"/>
          <w:b/>
          <w:bCs w:val="0"/>
          <w:kern w:val="2"/>
          <w:sz w:val="21"/>
          <w:szCs w:val="24"/>
          <w:lang w:val="en-US" w:eastAsia="zh-CN" w:bidi="ar"/>
        </w:rPr>
        <w:t>四、双方的权利和义务</w:t>
      </w:r>
    </w:p>
    <w:p w14:paraId="5DBAA405">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（一）甲方的权利和义务</w:t>
      </w:r>
    </w:p>
    <w:p w14:paraId="6D73A62D">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 xml:space="preserve">    甲方权利：组织使用单位严格按照招标文件及投标文件要求和标准验收货物。</w:t>
      </w:r>
    </w:p>
    <w:p w14:paraId="3E31CF0A">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 xml:space="preserve">    甲方义务：积极配合乙方验收、安装、调试工作。</w:t>
      </w:r>
    </w:p>
    <w:p w14:paraId="47D171C1">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（二）乙方的权利和义务</w:t>
      </w:r>
    </w:p>
    <w:p w14:paraId="0B9B3371">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 xml:space="preserve">    乙方权利：按照合同约定要求甲方及时付款。</w:t>
      </w:r>
    </w:p>
    <w:p w14:paraId="655BEA1B">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cs="Times New Roman"/>
          <w:lang w:val="en-US"/>
        </w:rPr>
      </w:pPr>
      <w:r>
        <w:rPr>
          <w:rFonts w:hint="default" w:ascii="Times New Roman" w:hAnsi="Times New Roman" w:eastAsia="宋体" w:cs="Times New Roman"/>
          <w:bCs/>
          <w:kern w:val="2"/>
          <w:sz w:val="21"/>
          <w:szCs w:val="24"/>
          <w:lang w:val="en-US" w:eastAsia="zh-CN" w:bidi="ar"/>
        </w:rPr>
        <w:t xml:space="preserve">    乙方义务：按照合同约定时间，按甲方指定地点提供货物，配合验收工作。                  </w:t>
      </w:r>
    </w:p>
    <w:p w14:paraId="2BACCA9B">
      <w:pPr>
        <w:keepNext w:val="0"/>
        <w:keepLines w:val="0"/>
        <w:widowControl w:val="0"/>
        <w:suppressLineNumbers w:val="0"/>
        <w:tabs>
          <w:tab w:val="left" w:pos="480"/>
        </w:tabs>
        <w:spacing w:before="0" w:beforeAutospacing="0" w:after="0" w:afterAutospacing="0" w:line="360" w:lineRule="auto"/>
        <w:ind w:left="0" w:right="0" w:firstLine="413" w:firstLineChars="196"/>
        <w:jc w:val="both"/>
        <w:rPr>
          <w:rFonts w:hint="default" w:ascii="Times New Roman" w:hAnsi="Times New Roman" w:eastAsia="宋体" w:cs="Times New Roman"/>
          <w:b/>
          <w:bCs w:val="0"/>
          <w:lang w:val="en-US"/>
        </w:rPr>
      </w:pPr>
      <w:r>
        <w:rPr>
          <w:rFonts w:hint="default" w:ascii="Times New Roman" w:hAnsi="Times New Roman" w:eastAsia="宋体" w:cs="Times New Roman"/>
          <w:b/>
          <w:bCs w:val="0"/>
          <w:kern w:val="2"/>
          <w:sz w:val="21"/>
          <w:szCs w:val="24"/>
          <w:lang w:val="en-US" w:eastAsia="zh-CN" w:bidi="ar"/>
        </w:rPr>
        <w:t>五、交货条件：</w:t>
      </w:r>
    </w:p>
    <w:p w14:paraId="4CCEC47D">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（一）交货地点：陕西中医药大学</w:t>
      </w:r>
    </w:p>
    <w:p w14:paraId="01EB8938">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（二）交货期：国产设备合同签订后XX日历日。</w:t>
      </w:r>
    </w:p>
    <w:p w14:paraId="06489F76">
      <w:pPr>
        <w:keepNext w:val="0"/>
        <w:keepLines w:val="0"/>
        <w:widowControl w:val="0"/>
        <w:suppressLineNumbers w:val="0"/>
        <w:tabs>
          <w:tab w:val="left" w:pos="480"/>
        </w:tabs>
        <w:spacing w:before="0" w:beforeAutospacing="0" w:after="0" w:afterAutospacing="0" w:line="360" w:lineRule="auto"/>
        <w:ind w:left="0" w:right="0" w:firstLine="413" w:firstLineChars="196"/>
        <w:jc w:val="both"/>
        <w:rPr>
          <w:rFonts w:hint="default" w:ascii="Times New Roman" w:hAnsi="Times New Roman" w:eastAsia="宋体" w:cs="Times New Roman"/>
          <w:b/>
          <w:bCs w:val="0"/>
          <w:lang w:val="en-US"/>
        </w:rPr>
      </w:pPr>
      <w:r>
        <w:rPr>
          <w:rFonts w:hint="default" w:ascii="Times New Roman" w:hAnsi="Times New Roman" w:eastAsia="宋体" w:cs="Times New Roman"/>
          <w:b/>
          <w:bCs w:val="0"/>
          <w:kern w:val="2"/>
          <w:sz w:val="21"/>
          <w:szCs w:val="24"/>
          <w:lang w:val="en-US" w:eastAsia="zh-CN" w:bidi="ar"/>
        </w:rPr>
        <w:t>六、运输</w:t>
      </w:r>
    </w:p>
    <w:p w14:paraId="28B83DC2">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（一）运输由乙方负责，运杂费已包含在合同总价内，包括从货物供应地点所含的运输费、装卸费、仓储费、保险费等。</w:t>
      </w:r>
    </w:p>
    <w:p w14:paraId="217B8178">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（二）运输方式由乙方自行选择，但必须保证按期交货。</w:t>
      </w:r>
    </w:p>
    <w:p w14:paraId="59AA1A5A">
      <w:pPr>
        <w:keepNext w:val="0"/>
        <w:keepLines w:val="0"/>
        <w:widowControl w:val="0"/>
        <w:suppressLineNumbers w:val="0"/>
        <w:tabs>
          <w:tab w:val="left" w:pos="480"/>
        </w:tabs>
        <w:spacing w:before="0" w:beforeAutospacing="0" w:after="0" w:afterAutospacing="0" w:line="360" w:lineRule="auto"/>
        <w:ind w:left="0" w:right="0" w:firstLine="413" w:firstLineChars="196"/>
        <w:jc w:val="both"/>
        <w:rPr>
          <w:rFonts w:hint="default" w:ascii="Times New Roman" w:hAnsi="Times New Roman" w:eastAsia="宋体" w:cs="Times New Roman"/>
          <w:b/>
          <w:bCs w:val="0"/>
          <w:lang w:val="en-US"/>
        </w:rPr>
      </w:pPr>
      <w:r>
        <w:rPr>
          <w:rFonts w:hint="default" w:ascii="Times New Roman" w:hAnsi="Times New Roman" w:eastAsia="宋体" w:cs="Times New Roman"/>
          <w:b/>
          <w:bCs w:val="0"/>
          <w:kern w:val="2"/>
          <w:sz w:val="21"/>
          <w:szCs w:val="24"/>
          <w:lang w:val="en-US" w:eastAsia="zh-CN" w:bidi="ar"/>
        </w:rPr>
        <w:t>七、质量保证</w:t>
      </w:r>
    </w:p>
    <w:p w14:paraId="43F3BC53">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乙方所供货物必须执行下列条款：</w:t>
      </w:r>
    </w:p>
    <w:p w14:paraId="107F4AB5">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（一）设备到位后，工程师应立即进行安装、调试，同时对操作人员进行严格的规范化培训。</w:t>
      </w:r>
    </w:p>
    <w:p w14:paraId="0FD9E93A">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（二）保证技术指标先进、质量性能可靠、进货渠道正常，配置合理，全面满足磋商要求。</w:t>
      </w:r>
    </w:p>
    <w:p w14:paraId="79944F9B">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（三）符合国家有关规范要求，确保达到最佳运行状态。</w:t>
      </w:r>
    </w:p>
    <w:p w14:paraId="15B75B74">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（四）具有良好的外观，适合安装场所的使用。</w:t>
      </w:r>
    </w:p>
    <w:p w14:paraId="3618B569">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（五）自安装、调试正常运行并验收合格之日起：</w:t>
      </w:r>
    </w:p>
    <w:p w14:paraId="3886EBB3">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1、免费质保期为主机及相关配套设备自安装调试试运行验收合格之日起</w:t>
      </w:r>
      <w:r>
        <w:rPr>
          <w:rFonts w:hint="default" w:ascii="Times New Roman" w:hAnsi="Times New Roman" w:eastAsia="宋体" w:cs="Times New Roman"/>
          <w:bCs/>
          <w:kern w:val="2"/>
          <w:sz w:val="21"/>
          <w:szCs w:val="24"/>
          <w:u w:val="single"/>
          <w:lang w:val="en-US" w:eastAsia="zh-CN" w:bidi="ar"/>
        </w:rPr>
        <w:t xml:space="preserve">  X  </w:t>
      </w:r>
      <w:r>
        <w:rPr>
          <w:rFonts w:hint="default" w:ascii="Times New Roman" w:hAnsi="Times New Roman" w:eastAsia="宋体" w:cs="Times New Roman"/>
          <w:bCs/>
          <w:kern w:val="2"/>
          <w:sz w:val="21"/>
          <w:szCs w:val="24"/>
          <w:lang w:val="en-US" w:eastAsia="zh-CN" w:bidi="ar"/>
        </w:rPr>
        <w:t>年</w:t>
      </w:r>
      <w:r>
        <w:rPr>
          <w:rFonts w:hint="default" w:ascii="Times New Roman" w:hAnsi="Times New Roman" w:eastAsia="宋体" w:cs="Times New Roman"/>
          <w:kern w:val="2"/>
          <w:sz w:val="21"/>
          <w:szCs w:val="24"/>
          <w:lang w:val="en-US" w:eastAsia="zh-CN" w:bidi="ar"/>
        </w:rPr>
        <w:t>原厂质保</w:t>
      </w:r>
      <w:r>
        <w:rPr>
          <w:rFonts w:hint="default" w:ascii="Times New Roman" w:hAnsi="Times New Roman" w:eastAsia="宋体" w:cs="Times New Roman"/>
          <w:bCs/>
          <w:kern w:val="2"/>
          <w:sz w:val="21"/>
          <w:szCs w:val="24"/>
          <w:lang w:val="en-US" w:eastAsia="zh-CN" w:bidi="ar"/>
        </w:rPr>
        <w:t>，厂家服务中心直接提供终身维修及售后服务，维修响应时间为</w:t>
      </w:r>
      <w:r>
        <w:rPr>
          <w:rFonts w:hint="default" w:ascii="Times New Roman" w:hAnsi="Times New Roman" w:eastAsia="宋体" w:cs="Times New Roman"/>
          <w:bCs/>
          <w:kern w:val="2"/>
          <w:sz w:val="21"/>
          <w:szCs w:val="24"/>
          <w:u w:val="single"/>
          <w:lang w:val="en-US" w:eastAsia="zh-CN" w:bidi="ar"/>
        </w:rPr>
        <w:t xml:space="preserve"> X </w:t>
      </w:r>
      <w:r>
        <w:rPr>
          <w:rFonts w:hint="default" w:ascii="Times New Roman" w:hAnsi="Times New Roman" w:eastAsia="宋体" w:cs="Times New Roman"/>
          <w:bCs/>
          <w:kern w:val="2"/>
          <w:sz w:val="21"/>
          <w:szCs w:val="24"/>
          <w:lang w:val="en-US" w:eastAsia="zh-CN" w:bidi="ar"/>
        </w:rPr>
        <w:t>小时内，</w:t>
      </w:r>
      <w:r>
        <w:rPr>
          <w:rFonts w:hint="default" w:ascii="Times New Roman" w:hAnsi="Times New Roman" w:eastAsia="宋体" w:cs="Times New Roman"/>
          <w:bCs/>
          <w:kern w:val="2"/>
          <w:sz w:val="21"/>
          <w:szCs w:val="24"/>
          <w:u w:val="single"/>
          <w:lang w:val="en-US" w:eastAsia="zh-CN" w:bidi="ar"/>
        </w:rPr>
        <w:t xml:space="preserve"> X </w:t>
      </w:r>
      <w:r>
        <w:rPr>
          <w:rFonts w:hint="default" w:ascii="Times New Roman" w:hAnsi="Times New Roman" w:eastAsia="宋体" w:cs="Times New Roman"/>
          <w:bCs/>
          <w:kern w:val="2"/>
          <w:sz w:val="21"/>
          <w:szCs w:val="24"/>
          <w:lang w:val="en-US" w:eastAsia="zh-CN" w:bidi="ar"/>
        </w:rPr>
        <w:t>小时内到达现场，在保修期外，只收取维修配件费和差旅费用，无人工费、维修费，并且保修期内提供至少X次工程师保养和检修。</w:t>
      </w:r>
    </w:p>
    <w:p w14:paraId="693B290A">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2、免费保修期内，同一主要部件出现质量问题经过两次维修后仍无法正常使用，可以更换同型号、同规格的产品，对问题较大短期内暂不能解决的，为不影响甲方正常使用，乙方在2日内免费提供替代产品，确保正常运行；</w:t>
      </w:r>
    </w:p>
    <w:p w14:paraId="53E24D7A">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3、30天内，如出现质量问题，可以选择换货或退货；</w:t>
      </w:r>
    </w:p>
    <w:p w14:paraId="29E8E72D">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4、30至60天内，如出现质量问题，可选择换货。</w:t>
      </w:r>
    </w:p>
    <w:p w14:paraId="2B215AC0">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（六）设备因产品质量或设计缺陷等问题，而发生的差错或纠纷乙方及生产厂商付全部责任。</w:t>
      </w:r>
    </w:p>
    <w:p w14:paraId="0A743D18">
      <w:pPr>
        <w:keepNext w:val="0"/>
        <w:keepLines w:val="0"/>
        <w:widowControl w:val="0"/>
        <w:suppressLineNumbers w:val="0"/>
        <w:tabs>
          <w:tab w:val="left" w:pos="480"/>
        </w:tabs>
        <w:spacing w:before="0" w:beforeAutospacing="0" w:after="0" w:afterAutospacing="0" w:line="360" w:lineRule="auto"/>
        <w:ind w:left="0" w:right="0" w:firstLine="413" w:firstLineChars="196"/>
        <w:jc w:val="both"/>
        <w:rPr>
          <w:rFonts w:hint="default" w:ascii="Times New Roman" w:hAnsi="Times New Roman" w:eastAsia="宋体" w:cs="Times New Roman"/>
          <w:b/>
          <w:bCs w:val="0"/>
          <w:lang w:val="en-US"/>
        </w:rPr>
      </w:pPr>
      <w:r>
        <w:rPr>
          <w:rFonts w:hint="default" w:ascii="Times New Roman" w:hAnsi="Times New Roman" w:eastAsia="宋体" w:cs="Times New Roman"/>
          <w:b/>
          <w:bCs w:val="0"/>
          <w:kern w:val="2"/>
          <w:sz w:val="21"/>
          <w:szCs w:val="24"/>
          <w:lang w:val="en-US" w:eastAsia="zh-CN" w:bidi="ar"/>
        </w:rPr>
        <w:t>八、售后服务</w:t>
      </w:r>
    </w:p>
    <w:p w14:paraId="5B74A85F">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乙方所供货物提供以下售后服务：</w:t>
      </w:r>
    </w:p>
    <w:p w14:paraId="3E6896D9">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（一）质保期内：</w:t>
      </w:r>
    </w:p>
    <w:p w14:paraId="387CF756">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1、供货商应告知采购人产品的使用、维护、保养等有关注意事项，并根据招投标文件要求对采购人的人员进行培训。</w:t>
      </w:r>
    </w:p>
    <w:p w14:paraId="43C40FFF">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2、发生质量问题，接到甲方通知后，应派出专业的维修人员到现场进行检测维修，发生的全部费用由乙方承担，若需送回生产厂，乙方承担往返费用；在产品正常使用寿命内发生的任何产品质量问题，接到报修通知，维修响应时间为</w:t>
      </w:r>
      <w:r>
        <w:rPr>
          <w:rFonts w:hint="default" w:ascii="Times New Roman" w:hAnsi="Times New Roman" w:eastAsia="宋体" w:cs="Times New Roman"/>
          <w:bCs/>
          <w:kern w:val="2"/>
          <w:sz w:val="21"/>
          <w:szCs w:val="24"/>
          <w:u w:val="single"/>
          <w:lang w:val="en-US" w:eastAsia="zh-CN" w:bidi="ar"/>
        </w:rPr>
        <w:t xml:space="preserve"> X  </w:t>
      </w:r>
      <w:r>
        <w:rPr>
          <w:rFonts w:hint="default" w:ascii="Times New Roman" w:hAnsi="Times New Roman" w:eastAsia="宋体" w:cs="Times New Roman"/>
          <w:bCs/>
          <w:kern w:val="2"/>
          <w:sz w:val="21"/>
          <w:szCs w:val="24"/>
          <w:lang w:val="en-US" w:eastAsia="zh-CN" w:bidi="ar"/>
        </w:rPr>
        <w:t>小时内，</w:t>
      </w:r>
      <w:r>
        <w:rPr>
          <w:rFonts w:hint="default" w:ascii="Times New Roman" w:hAnsi="Times New Roman" w:eastAsia="宋体" w:cs="Times New Roman"/>
          <w:bCs/>
          <w:kern w:val="2"/>
          <w:sz w:val="21"/>
          <w:szCs w:val="24"/>
          <w:u w:val="single"/>
          <w:lang w:val="en-US" w:eastAsia="zh-CN" w:bidi="ar"/>
        </w:rPr>
        <w:t xml:space="preserve">  XX</w:t>
      </w:r>
      <w:r>
        <w:rPr>
          <w:rFonts w:hint="default" w:ascii="Times New Roman" w:hAnsi="Times New Roman" w:eastAsia="宋体" w:cs="Times New Roman"/>
          <w:bCs/>
          <w:kern w:val="2"/>
          <w:sz w:val="21"/>
          <w:szCs w:val="24"/>
          <w:lang w:val="en-US" w:eastAsia="zh-CN" w:bidi="ar"/>
        </w:rPr>
        <w:t>小时内到达现场，排除故障的期限不得超过24小时，甲方有权自行委托第三方进行维修，维修费用由乙方承担，相关费用甲方有权在质量保修金中扣除，不足部分乙方予以赔偿。在保修期外，只收取维修配件费和差旅费用，无人工费、维修费。</w:t>
      </w:r>
    </w:p>
    <w:p w14:paraId="09F5C220">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3、定期派技术人员到现场走访，给予检查维护；</w:t>
      </w:r>
    </w:p>
    <w:p w14:paraId="6C4D4E4D">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4、乙方免费提供质保期内不低于2次工程师保养和检修及巡检服务并向甲方递交相应巡检报告，应用户合理要求给予其它现场服务；</w:t>
      </w:r>
    </w:p>
    <w:p w14:paraId="361454CD">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5、如非乙方原因造成的质量问题，乙方有义务根据甲方的要求进行维修或配合维修，如需更换产品或配件，只收取维修配件费和差旅费用，无人工费、维修费。</w:t>
      </w:r>
    </w:p>
    <w:p w14:paraId="6E1E2715">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（二）质保期结束前，进行系统测试，全面保养维护，确保正常运行。</w:t>
      </w:r>
    </w:p>
    <w:p w14:paraId="25E181BF">
      <w:pPr>
        <w:keepNext w:val="0"/>
        <w:keepLines w:val="0"/>
        <w:widowControl w:val="0"/>
        <w:suppressLineNumbers w:val="0"/>
        <w:tabs>
          <w:tab w:val="left" w:pos="480"/>
        </w:tabs>
        <w:spacing w:before="0" w:beforeAutospacing="0" w:after="0" w:afterAutospacing="0" w:line="360" w:lineRule="auto"/>
        <w:ind w:left="0" w:right="0" w:firstLine="413" w:firstLineChars="196"/>
        <w:jc w:val="both"/>
        <w:rPr>
          <w:rFonts w:hint="default" w:ascii="Times New Roman" w:hAnsi="Times New Roman" w:eastAsia="宋体" w:cs="Times New Roman"/>
          <w:b/>
          <w:bCs w:val="0"/>
          <w:lang w:val="en-US"/>
        </w:rPr>
      </w:pPr>
      <w:r>
        <w:rPr>
          <w:rFonts w:hint="default" w:ascii="Times New Roman" w:hAnsi="Times New Roman" w:eastAsia="宋体" w:cs="Times New Roman"/>
          <w:b/>
          <w:bCs w:val="0"/>
          <w:kern w:val="2"/>
          <w:sz w:val="21"/>
          <w:szCs w:val="24"/>
          <w:lang w:val="en-US" w:eastAsia="zh-CN" w:bidi="ar"/>
        </w:rPr>
        <w:t>九、技术与服务</w:t>
      </w:r>
    </w:p>
    <w:p w14:paraId="5C9BF5A9">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（一）技术资料：</w:t>
      </w:r>
    </w:p>
    <w:p w14:paraId="7DCC1466">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1、货物合格证；</w:t>
      </w:r>
    </w:p>
    <w:p w14:paraId="3D88CB5A">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2、货物使用说明书（中文）；</w:t>
      </w:r>
    </w:p>
    <w:p w14:paraId="181FD1F1">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3、项目峻工资料、检验测试报告；</w:t>
      </w:r>
    </w:p>
    <w:p w14:paraId="7C5F0E85">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4、其它资料。</w:t>
      </w:r>
    </w:p>
    <w:p w14:paraId="626632D5">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（二）服务承诺：</w:t>
      </w:r>
    </w:p>
    <w:p w14:paraId="1019EE5A">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1、设备（产品）安装、调试和验收：提供设备（产品）现场安装、调试，设备（产品）安装调试需在X日内完成。安装前，提供安装条件、用水、用电条件说明；</w:t>
      </w:r>
    </w:p>
    <w:p w14:paraId="0C8EB379">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2、培训要求：安装验收后，厂家在用户所在地对用户进行设备（产品）操作和日常维护的现场培训。包括设备（产品）原理、使用方法和维护方法等；</w:t>
      </w:r>
    </w:p>
    <w:p w14:paraId="32A8DD1A">
      <w:pPr>
        <w:pStyle w:val="5"/>
        <w:keepNext w:val="0"/>
        <w:keepLines w:val="0"/>
        <w:widowControl/>
        <w:suppressLineNumbers w:val="0"/>
        <w:ind w:left="0" w:firstLine="420" w:firstLineChars="200"/>
        <w:rPr>
          <w:rFonts w:hint="default" w:ascii="Times New Roman" w:hAnsi="Times New Roman" w:cs="Times New Roman"/>
          <w:lang w:val="en-US"/>
        </w:rPr>
      </w:pPr>
      <w:r>
        <w:rPr>
          <w:rFonts w:hint="default" w:ascii="Times New Roman" w:hAnsi="Times New Roman" w:eastAsia="宋体" w:cs="Times New Roman"/>
          <w:bCs/>
          <w:lang w:val="en-US"/>
        </w:rPr>
        <w:t>3</w:t>
      </w:r>
      <w:r>
        <w:rPr>
          <w:rFonts w:hint="default" w:ascii="Times New Roman" w:hAnsi="Times New Roman" w:eastAsia="宋体" w:cs="Times New Roman"/>
          <w:bCs/>
          <w:lang w:eastAsia="zh-CN"/>
        </w:rPr>
        <w:t>、以投标文件、澄清表（函）、合同和随货物的相关文件为准。</w:t>
      </w:r>
    </w:p>
    <w:p w14:paraId="4ED45F15">
      <w:pPr>
        <w:keepNext w:val="0"/>
        <w:keepLines w:val="0"/>
        <w:widowControl w:val="0"/>
        <w:suppressLineNumbers w:val="0"/>
        <w:tabs>
          <w:tab w:val="left" w:pos="480"/>
        </w:tabs>
        <w:spacing w:before="0" w:beforeAutospacing="0" w:after="0" w:afterAutospacing="0" w:line="360" w:lineRule="auto"/>
        <w:ind w:left="0" w:right="0" w:firstLine="413" w:firstLineChars="196"/>
        <w:jc w:val="both"/>
        <w:rPr>
          <w:rFonts w:hint="default" w:ascii="Times New Roman" w:hAnsi="Times New Roman" w:eastAsia="宋体" w:cs="Times New Roman"/>
          <w:b/>
          <w:bCs w:val="0"/>
          <w:lang w:val="en-US"/>
        </w:rPr>
      </w:pPr>
      <w:r>
        <w:rPr>
          <w:rFonts w:hint="default" w:ascii="Times New Roman" w:hAnsi="Times New Roman" w:eastAsia="宋体" w:cs="Times New Roman"/>
          <w:b/>
          <w:bCs w:val="0"/>
          <w:kern w:val="2"/>
          <w:sz w:val="21"/>
          <w:szCs w:val="24"/>
          <w:lang w:val="en-US" w:eastAsia="zh-CN" w:bidi="ar"/>
        </w:rPr>
        <w:t>十、验收</w:t>
      </w:r>
    </w:p>
    <w:p w14:paraId="0798E41F">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一）乙方应在将产品移交甲方之前或同时，将与该产品有关的全部法律证件提交甲方审核确认。如乙方所供货物为原装进口产品的,应提供相关的进口证明文件。经甲方审核认为上述文件不全或存在瑕疵的，甲方有权拒绝支付货款。甲方对上述文件的审核并不解除乙方对产品所负的权利担保责任。</w:t>
      </w:r>
    </w:p>
    <w:p w14:paraId="39A0F579">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（二）货物到达甲方指定地点后，甲方根据合同要求，进行外观验收，确认产地、规格、型号和数量。</w:t>
      </w:r>
    </w:p>
    <w:p w14:paraId="194783AB">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（三）货物安装、调试并正常运行后，由乙方进行自检，合格后，准备验收文件，并书面通知甲方。</w:t>
      </w:r>
    </w:p>
    <w:p w14:paraId="4BFDA3DF">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（四）甲方确认乙方的自检内容后，组织乙方（必要时请有关专家）进行系统验收，验收合格后，填写政府采购项目验收单（一式六份）作为对货物的最终认可。</w:t>
      </w:r>
    </w:p>
    <w:p w14:paraId="5D4FBF9E">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（五）乙方向甲方提交货物实施过程中的所有资料。以便甲方日后管理和维护。</w:t>
      </w:r>
    </w:p>
    <w:p w14:paraId="0353A9EB">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（六）验收依据：</w:t>
      </w:r>
    </w:p>
    <w:p w14:paraId="0CD45BA0">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1、招标文件、投标文件、澄清表（函）；</w:t>
      </w:r>
    </w:p>
    <w:p w14:paraId="18113248">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2、本合同及附件文本；</w:t>
      </w:r>
    </w:p>
    <w:p w14:paraId="33526599">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3、国家相应的标准、规范。</w:t>
      </w:r>
    </w:p>
    <w:p w14:paraId="24435C77">
      <w:pPr>
        <w:keepNext w:val="0"/>
        <w:keepLines w:val="0"/>
        <w:widowControl w:val="0"/>
        <w:suppressLineNumbers w:val="0"/>
        <w:tabs>
          <w:tab w:val="left" w:pos="480"/>
        </w:tabs>
        <w:spacing w:before="0" w:beforeAutospacing="0" w:after="0" w:afterAutospacing="0" w:line="360" w:lineRule="auto"/>
        <w:ind w:left="0" w:right="0" w:firstLine="413" w:firstLineChars="196"/>
        <w:jc w:val="both"/>
        <w:rPr>
          <w:rFonts w:hint="default" w:ascii="Times New Roman" w:hAnsi="Times New Roman" w:eastAsia="宋体" w:cs="Times New Roman"/>
          <w:b/>
          <w:bCs w:val="0"/>
          <w:lang w:val="en-US"/>
        </w:rPr>
      </w:pPr>
      <w:r>
        <w:rPr>
          <w:rFonts w:hint="default" w:ascii="Times New Roman" w:hAnsi="Times New Roman" w:eastAsia="宋体" w:cs="Times New Roman"/>
          <w:b/>
          <w:bCs w:val="0"/>
          <w:kern w:val="2"/>
          <w:sz w:val="21"/>
          <w:szCs w:val="24"/>
          <w:lang w:val="en-US" w:eastAsia="zh-CN" w:bidi="ar"/>
        </w:rPr>
        <w:t>十一、违约责任</w:t>
      </w:r>
    </w:p>
    <w:p w14:paraId="7207751D">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（一）按《政府采购法》、《合同法》中的相关条款执行。</w:t>
      </w:r>
    </w:p>
    <w:p w14:paraId="51CD50B0">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（二）未按合同要求提供货物或质量不能满足招标技术要求，乙方必须无条件更换，提高技术，完善质量，否则，甲方有权终止合同，并对乙方的违约行为报监管机构进行相应的处罚。</w:t>
      </w:r>
    </w:p>
    <w:p w14:paraId="1A909069">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（三）交货期每超过一天，扣除乙方合同总价款的</w:t>
      </w:r>
      <w:r>
        <w:rPr>
          <w:rFonts w:hint="default" w:ascii="Times New Roman" w:hAnsi="Times New Roman" w:eastAsia="宋体" w:cs="Times New Roman"/>
          <w:bCs/>
          <w:kern w:val="2"/>
          <w:sz w:val="21"/>
          <w:szCs w:val="24"/>
          <w:u w:val="single"/>
          <w:lang w:val="en-US" w:eastAsia="zh-CN" w:bidi="ar"/>
        </w:rPr>
        <w:t xml:space="preserve"> 1 </w:t>
      </w:r>
      <w:r>
        <w:rPr>
          <w:rFonts w:hint="default" w:ascii="Times New Roman" w:hAnsi="Times New Roman" w:eastAsia="宋体" w:cs="Times New Roman"/>
          <w:bCs/>
          <w:kern w:val="2"/>
          <w:sz w:val="21"/>
          <w:szCs w:val="24"/>
          <w:lang w:val="en-US" w:eastAsia="zh-CN" w:bidi="ar"/>
        </w:rPr>
        <w:t>‰。</w:t>
      </w:r>
    </w:p>
    <w:p w14:paraId="2DA77076">
      <w:pPr>
        <w:keepNext w:val="0"/>
        <w:keepLines w:val="0"/>
        <w:widowControl w:val="0"/>
        <w:suppressLineNumbers w:val="0"/>
        <w:tabs>
          <w:tab w:val="left" w:pos="480"/>
        </w:tabs>
        <w:spacing w:before="0" w:beforeAutospacing="0" w:after="0" w:afterAutospacing="0" w:line="360" w:lineRule="auto"/>
        <w:ind w:left="0" w:right="0" w:firstLine="413" w:firstLineChars="196"/>
        <w:jc w:val="both"/>
        <w:rPr>
          <w:rFonts w:hint="default" w:ascii="Times New Roman" w:hAnsi="Times New Roman" w:eastAsia="宋体" w:cs="Times New Roman"/>
          <w:b/>
          <w:bCs w:val="0"/>
          <w:lang w:val="en-US"/>
        </w:rPr>
      </w:pPr>
      <w:r>
        <w:rPr>
          <w:rFonts w:hint="default" w:ascii="Times New Roman" w:hAnsi="Times New Roman" w:eastAsia="宋体" w:cs="Times New Roman"/>
          <w:b/>
          <w:bCs w:val="0"/>
          <w:kern w:val="2"/>
          <w:sz w:val="21"/>
          <w:szCs w:val="24"/>
          <w:lang w:val="en-US" w:eastAsia="zh-CN" w:bidi="ar"/>
        </w:rPr>
        <w:t>十二、合同争议解决的方式</w:t>
      </w:r>
    </w:p>
    <w:p w14:paraId="48CBE6B5">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本合同在履行过程中发生的争议，由甲、乙双方当事人协商解决，协商不成的按下列第（ 二 ）种方式解决：</w:t>
      </w:r>
    </w:p>
    <w:p w14:paraId="32FA4D0B">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（一）提交</w:t>
      </w:r>
      <w:r>
        <w:rPr>
          <w:rFonts w:hint="default" w:ascii="Times New Roman" w:hAnsi="Times New Roman" w:eastAsia="宋体" w:cs="Times New Roman"/>
          <w:bCs/>
          <w:kern w:val="2"/>
          <w:sz w:val="21"/>
          <w:szCs w:val="24"/>
          <w:u w:val="single"/>
          <w:lang w:val="en-US" w:eastAsia="zh-CN" w:bidi="ar"/>
        </w:rPr>
        <w:t xml:space="preserve">  西安   </w:t>
      </w:r>
      <w:r>
        <w:rPr>
          <w:rFonts w:hint="default" w:ascii="Times New Roman" w:hAnsi="Times New Roman" w:eastAsia="宋体" w:cs="Times New Roman"/>
          <w:bCs/>
          <w:kern w:val="2"/>
          <w:sz w:val="21"/>
          <w:szCs w:val="24"/>
          <w:lang w:val="en-US" w:eastAsia="zh-CN" w:bidi="ar"/>
        </w:rPr>
        <w:t>仲裁委员会仲裁；</w:t>
      </w:r>
    </w:p>
    <w:p w14:paraId="12203B20">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（二）依法向</w:t>
      </w:r>
      <w:r>
        <w:rPr>
          <w:rFonts w:hint="default" w:ascii="Times New Roman" w:hAnsi="Times New Roman" w:eastAsia="宋体" w:cs="Times New Roman"/>
          <w:bCs/>
          <w:kern w:val="2"/>
          <w:sz w:val="21"/>
          <w:szCs w:val="24"/>
          <w:u w:val="single"/>
          <w:lang w:val="en-US" w:eastAsia="zh-CN" w:bidi="ar"/>
        </w:rPr>
        <w:t xml:space="preserve">  咸阳  </w:t>
      </w:r>
      <w:r>
        <w:rPr>
          <w:rFonts w:hint="default" w:ascii="Times New Roman" w:hAnsi="Times New Roman" w:eastAsia="宋体" w:cs="Times New Roman"/>
          <w:bCs/>
          <w:kern w:val="2"/>
          <w:sz w:val="21"/>
          <w:szCs w:val="24"/>
          <w:lang w:val="en-US" w:eastAsia="zh-CN" w:bidi="ar"/>
        </w:rPr>
        <w:t>所在地人民法院起诉。</w:t>
      </w:r>
    </w:p>
    <w:p w14:paraId="22E439E9">
      <w:pPr>
        <w:keepNext w:val="0"/>
        <w:keepLines w:val="0"/>
        <w:widowControl w:val="0"/>
        <w:suppressLineNumbers w:val="0"/>
        <w:tabs>
          <w:tab w:val="left" w:pos="480"/>
        </w:tabs>
        <w:spacing w:before="0" w:beforeAutospacing="0" w:after="0" w:afterAutospacing="0" w:line="360" w:lineRule="auto"/>
        <w:ind w:left="0" w:right="0" w:firstLine="413" w:firstLineChars="196"/>
        <w:jc w:val="both"/>
        <w:rPr>
          <w:rFonts w:hint="default" w:ascii="Times New Roman" w:hAnsi="Times New Roman" w:eastAsia="宋体" w:cs="Times New Roman"/>
          <w:b/>
          <w:bCs w:val="0"/>
          <w:lang w:val="en-US"/>
        </w:rPr>
      </w:pPr>
      <w:r>
        <w:rPr>
          <w:rFonts w:hint="default" w:ascii="Times New Roman" w:hAnsi="Times New Roman" w:eastAsia="宋体" w:cs="Times New Roman"/>
          <w:b/>
          <w:bCs w:val="0"/>
          <w:kern w:val="2"/>
          <w:sz w:val="21"/>
          <w:szCs w:val="24"/>
          <w:lang w:val="en-US" w:eastAsia="zh-CN" w:bidi="ar"/>
        </w:rPr>
        <w:t>十三、合同生效</w:t>
      </w:r>
    </w:p>
    <w:p w14:paraId="19D2D623">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本合同一式</w:t>
      </w:r>
      <w:r>
        <w:rPr>
          <w:rFonts w:hint="default" w:ascii="Times New Roman" w:hAnsi="Times New Roman" w:eastAsia="宋体" w:cs="Times New Roman"/>
          <w:bCs/>
          <w:kern w:val="2"/>
          <w:sz w:val="21"/>
          <w:szCs w:val="24"/>
          <w:u w:val="single"/>
          <w:lang w:val="en-US" w:eastAsia="zh-CN" w:bidi="ar"/>
        </w:rPr>
        <w:t xml:space="preserve"> 5 </w:t>
      </w:r>
      <w:r>
        <w:rPr>
          <w:rFonts w:hint="default" w:ascii="Times New Roman" w:hAnsi="Times New Roman" w:eastAsia="宋体" w:cs="Times New Roman"/>
          <w:bCs/>
          <w:kern w:val="2"/>
          <w:sz w:val="21"/>
          <w:szCs w:val="24"/>
          <w:lang w:val="en-US" w:eastAsia="zh-CN" w:bidi="ar"/>
        </w:rPr>
        <w:t>份，甲方执</w:t>
      </w:r>
      <w:r>
        <w:rPr>
          <w:rFonts w:hint="default" w:ascii="Times New Roman" w:hAnsi="Times New Roman" w:eastAsia="宋体" w:cs="Times New Roman"/>
          <w:bCs/>
          <w:kern w:val="2"/>
          <w:sz w:val="21"/>
          <w:szCs w:val="24"/>
          <w:u w:val="single"/>
          <w:lang w:val="en-US" w:eastAsia="zh-CN" w:bidi="ar"/>
        </w:rPr>
        <w:t xml:space="preserve"> 2 </w:t>
      </w:r>
      <w:r>
        <w:rPr>
          <w:rFonts w:hint="default" w:ascii="Times New Roman" w:hAnsi="Times New Roman" w:eastAsia="宋体" w:cs="Times New Roman"/>
          <w:bCs/>
          <w:kern w:val="2"/>
          <w:sz w:val="21"/>
          <w:szCs w:val="24"/>
          <w:lang w:val="en-US" w:eastAsia="zh-CN" w:bidi="ar"/>
        </w:rPr>
        <w:t>份，乙方执</w:t>
      </w:r>
      <w:r>
        <w:rPr>
          <w:rFonts w:hint="default" w:ascii="Times New Roman" w:hAnsi="Times New Roman" w:eastAsia="宋体" w:cs="Times New Roman"/>
          <w:bCs/>
          <w:kern w:val="2"/>
          <w:sz w:val="21"/>
          <w:szCs w:val="24"/>
          <w:u w:val="single"/>
          <w:lang w:val="en-US" w:eastAsia="zh-CN" w:bidi="ar"/>
        </w:rPr>
        <w:t xml:space="preserve"> 1 </w:t>
      </w:r>
      <w:r>
        <w:rPr>
          <w:rFonts w:hint="default" w:ascii="Times New Roman" w:hAnsi="Times New Roman" w:eastAsia="宋体" w:cs="Times New Roman"/>
          <w:bCs/>
          <w:kern w:val="2"/>
          <w:sz w:val="21"/>
          <w:szCs w:val="24"/>
          <w:lang w:val="en-US" w:eastAsia="zh-CN" w:bidi="ar"/>
        </w:rPr>
        <w:t>份、采购代理机构执</w:t>
      </w:r>
      <w:r>
        <w:rPr>
          <w:rFonts w:hint="default" w:ascii="Times New Roman" w:hAnsi="Times New Roman" w:eastAsia="宋体" w:cs="Times New Roman"/>
          <w:bCs/>
          <w:kern w:val="2"/>
          <w:sz w:val="21"/>
          <w:szCs w:val="24"/>
          <w:u w:val="single"/>
          <w:lang w:val="en-US" w:eastAsia="zh-CN" w:bidi="ar"/>
        </w:rPr>
        <w:t>壹</w:t>
      </w:r>
      <w:r>
        <w:rPr>
          <w:rFonts w:hint="default" w:ascii="Times New Roman" w:hAnsi="Times New Roman" w:eastAsia="宋体" w:cs="Times New Roman"/>
          <w:bCs/>
          <w:kern w:val="2"/>
          <w:sz w:val="21"/>
          <w:szCs w:val="24"/>
          <w:lang w:val="en-US" w:eastAsia="zh-CN" w:bidi="ar"/>
        </w:rPr>
        <w:t>份，陕西省财政厅政府采购管理处备案</w:t>
      </w:r>
      <w:r>
        <w:rPr>
          <w:rFonts w:hint="default" w:ascii="Times New Roman" w:hAnsi="Times New Roman" w:eastAsia="宋体" w:cs="Times New Roman"/>
          <w:bCs/>
          <w:kern w:val="2"/>
          <w:sz w:val="21"/>
          <w:szCs w:val="24"/>
          <w:u w:val="single"/>
          <w:lang w:val="en-US" w:eastAsia="zh-CN" w:bidi="ar"/>
        </w:rPr>
        <w:t xml:space="preserve"> 1 </w:t>
      </w:r>
      <w:r>
        <w:rPr>
          <w:rFonts w:hint="default" w:ascii="Times New Roman" w:hAnsi="Times New Roman" w:eastAsia="宋体" w:cs="Times New Roman"/>
          <w:bCs/>
          <w:kern w:val="2"/>
          <w:sz w:val="21"/>
          <w:szCs w:val="24"/>
          <w:lang w:val="en-US" w:eastAsia="zh-CN" w:bidi="ar"/>
        </w:rPr>
        <w:t>份，本合同甲、乙方签字盖章后生效，合同执行完毕后，自动失效（合同的服务承诺则长期有效）。</w:t>
      </w:r>
    </w:p>
    <w:p w14:paraId="2BDEABD9">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（一）陕西省财政厅政府采购管理处在合同的履行期间以及履行期后，可以随时检查项目的执行情况，对采购内容、标准进行调查核实，并对发现的问题进行处理。</w:t>
      </w:r>
    </w:p>
    <w:p w14:paraId="1A476D46">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（二）招标文件、投标文件、澄清表（函）、成交通知书、合同附件均成为合同不可分割的部分。</w:t>
      </w:r>
    </w:p>
    <w:p w14:paraId="2456F69B">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（三）合同未尽事宜，由甲、乙双方协商并确认后，作为合同补充，与原合同具有同等法律效力。</w:t>
      </w:r>
    </w:p>
    <w:p w14:paraId="3C441531">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（四）合同一经签订，不得擅自变更、中止或终止合同。对确需变更、调整或中止、终止合同的，应按规定履行相应的手续。</w:t>
      </w:r>
    </w:p>
    <w:p w14:paraId="46157226">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（五）本合同按照中华人民共和国的现行法律进行解释。</w:t>
      </w:r>
    </w:p>
    <w:p w14:paraId="554E6360">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（以下无正文）</w:t>
      </w:r>
    </w:p>
    <w:p w14:paraId="4196C60E">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甲  方（盖章）                             乙  方（盖章）</w:t>
      </w:r>
    </w:p>
    <w:p w14:paraId="70CF57D6">
      <w:pPr>
        <w:keepNext w:val="0"/>
        <w:keepLines w:val="0"/>
        <w:widowControl w:val="0"/>
        <w:suppressLineNumbers w:val="0"/>
        <w:tabs>
          <w:tab w:val="left" w:pos="480"/>
        </w:tabs>
        <w:spacing w:before="0" w:beforeAutospacing="0" w:after="0" w:afterAutospacing="0" w:line="360" w:lineRule="auto"/>
        <w:ind w:left="5880" w:leftChars="200" w:right="0" w:hanging="5460" w:hangingChars="26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 xml:space="preserve">单位名称：                                 单位名称： </w:t>
      </w:r>
    </w:p>
    <w:p w14:paraId="08D509F1">
      <w:pPr>
        <w:keepNext w:val="0"/>
        <w:keepLines w:val="0"/>
        <w:widowControl w:val="0"/>
        <w:suppressLineNumbers w:val="0"/>
        <w:tabs>
          <w:tab w:val="left" w:pos="480"/>
        </w:tabs>
        <w:spacing w:before="0" w:beforeAutospacing="0" w:after="0" w:afterAutospacing="0" w:line="360" w:lineRule="auto"/>
        <w:ind w:left="5670" w:leftChars="200" w:right="0" w:hanging="5250" w:hangingChars="25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 xml:space="preserve">地  址：                                   地  址： </w:t>
      </w:r>
    </w:p>
    <w:p w14:paraId="0721EBD3">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 xml:space="preserve">法定代表人或授权委托人（签字或盖章）：       法定代表人或授权委托人（签字或盖章）： </w:t>
      </w:r>
    </w:p>
    <w:p w14:paraId="7BC99A96">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代理人：                                   代理人：</w:t>
      </w:r>
    </w:p>
    <w:p w14:paraId="2A98FCB8">
      <w:pPr>
        <w:keepNext w:val="0"/>
        <w:keepLines w:val="0"/>
        <w:widowControl w:val="0"/>
        <w:suppressLineNumbers w:val="0"/>
        <w:tabs>
          <w:tab w:val="left" w:pos="480"/>
        </w:tabs>
        <w:spacing w:before="0" w:beforeAutospacing="0" w:after="0" w:afterAutospacing="0" w:line="360" w:lineRule="auto"/>
        <w:ind w:left="5985" w:leftChars="200" w:right="0" w:hanging="5565" w:hangingChars="265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 xml:space="preserve">                                           开户银行： </w:t>
      </w:r>
    </w:p>
    <w:p w14:paraId="75052062">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 xml:space="preserve">                                           账  号：    </w:t>
      </w:r>
    </w:p>
    <w:p w14:paraId="2648A2B8">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default" w:ascii="Times New Roman" w:hAnsi="Times New Roman" w:eastAsia="宋体" w:cs="Times New Roman"/>
          <w:bCs/>
          <w:lang w:val="en-US"/>
        </w:rPr>
      </w:pPr>
      <w:r>
        <w:rPr>
          <w:rFonts w:hint="default" w:ascii="Times New Roman" w:hAnsi="Times New Roman" w:eastAsia="宋体" w:cs="Times New Roman"/>
          <w:bCs/>
          <w:kern w:val="2"/>
          <w:sz w:val="21"/>
          <w:szCs w:val="24"/>
          <w:lang w:val="en-US" w:eastAsia="zh-CN" w:bidi="ar"/>
        </w:rPr>
        <w:t>联系电话：                                 联系电话：</w:t>
      </w:r>
    </w:p>
    <w:p w14:paraId="54AF532E">
      <w:pPr>
        <w:keepNext w:val="0"/>
        <w:keepLines w:val="0"/>
        <w:widowControl w:val="0"/>
        <w:suppressLineNumbers w:val="0"/>
        <w:tabs>
          <w:tab w:val="left" w:pos="480"/>
        </w:tabs>
        <w:spacing w:before="0" w:beforeAutospacing="0" w:after="0" w:afterAutospacing="0" w:line="360" w:lineRule="auto"/>
        <w:ind w:left="0" w:right="0" w:firstLine="420" w:firstLineChars="200"/>
        <w:jc w:val="both"/>
        <w:rPr>
          <w:rFonts w:hint="eastAsia"/>
          <w:color w:val="auto"/>
          <w:lang w:val="en-US" w:eastAsia="zh-Hans"/>
        </w:rPr>
      </w:pPr>
      <w:r>
        <w:rPr>
          <w:rFonts w:hint="default" w:ascii="Times New Roman" w:hAnsi="Times New Roman" w:eastAsia="宋体" w:cs="Times New Roman"/>
          <w:bCs/>
          <w:kern w:val="2"/>
          <w:sz w:val="21"/>
          <w:szCs w:val="24"/>
          <w:lang w:val="en-US" w:eastAsia="zh-CN" w:bidi="ar"/>
        </w:rPr>
        <w:t>签订日期：     年    月      日            签订日期：     年    月   日</w:t>
      </w:r>
    </w:p>
    <w:p w14:paraId="5DB939BC"/>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2AC021">
    <w:pPr>
      <w:spacing w:line="260" w:lineRule="exact"/>
      <w:ind w:left="3893"/>
      <w:rPr>
        <w:rFonts w:hint="eastAsia" w:ascii="宋体" w:hAnsi="宋体" w:eastAsia="宋体" w:cs="宋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AD164E">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12AD164E">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922C89"/>
    <w:rsid w:val="066977C9"/>
    <w:rsid w:val="08000695"/>
    <w:rsid w:val="2705317A"/>
    <w:rsid w:val="2F621BAC"/>
    <w:rsid w:val="36DA01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customStyle="1" w:styleId="5">
    <w:name w:val="样式 10 磅"/>
    <w:basedOn w:val="1"/>
    <w:qFormat/>
    <w:uiPriority w:val="0"/>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3249</Words>
  <Characters>3315</Characters>
  <Lines>0</Lines>
  <Paragraphs>0</Paragraphs>
  <TotalTime>0</TotalTime>
  <ScaleCrop>false</ScaleCrop>
  <LinksUpToDate>false</LinksUpToDate>
  <CharactersWithSpaces>3707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2026-08-07T03:09:00Z</dcterms:created>
  <dc:creator>Administrator</dc:creator>
  <cp:lastModifiedBy>周乐</cp:lastModifiedBy>
  <dcterms:modified xsi:type="dcterms:W3CDTF">2026-08-07T03:54:50Z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eyJoZGlkIjoiNmJhODJlNDRmZTc2ZWYzMmQ0MzhhZTU0MDkyMDcyOWUiLCJ1c2VySWQiOiIyODI4NjAyODQifQ==</vt:lpwstr>
  </property>
  <property fmtid="{D5CDD505-2E9C-101B-9397-08002B2CF9AE}" pid="4" name="ICV">
    <vt:lpwstr>1DEF86FEFA05486FB6512A3E316C5BB6_12</vt:lpwstr>
  </property>
</Properties>
</file>