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版本号：SDZC2026-08420260707001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实习剧场座椅大屏灯光购置项目（装修）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SDZC2026-084</w:t>
      </w:r>
      <w:r>
        <w:br/>
      </w:r>
      <w:r>
        <w:br/>
      </w:r>
      <w:r>
        <w:br/>
      </w:r>
    </w:p>
    <w:p>
      <w:pPr>
        <w:pStyle w:val="null3"/>
        <w:jc w:val="center"/>
        <w:outlineLvl w:val="2"/>
      </w:pPr>
      <w:r>
        <w:rPr>
          <w:rFonts w:ascii="仿宋_GB2312" w:hAnsi="仿宋_GB2312" w:cs="仿宋_GB2312" w:eastAsia="仿宋_GB2312"/>
          <w:sz w:val="28"/>
          <w:b/>
        </w:rPr>
        <w:t>西安市艺术学校</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西安市艺术学校</w:t>
      </w:r>
      <w:r>
        <w:rPr>
          <w:rFonts w:ascii="仿宋_GB2312" w:hAnsi="仿宋_GB2312" w:cs="仿宋_GB2312" w:eastAsia="仿宋_GB2312"/>
        </w:rPr>
        <w:t>委托，拟对</w:t>
      </w:r>
      <w:r>
        <w:rPr>
          <w:rFonts w:ascii="仿宋_GB2312" w:hAnsi="仿宋_GB2312" w:cs="仿宋_GB2312" w:eastAsia="仿宋_GB2312"/>
        </w:rPr>
        <w:t>实习剧场座椅大屏灯光购置项目（装修）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SDZC2026-084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实习剧场座椅大屏灯光购置项目（装修）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西安市艺术学校灯光购置项目(装修)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采购包1（实习剧场座椅大屏灯光购置项目（装修））：属于专门面向中小企业采购。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1、提供供应商合法注册的法人或者其他组织的营业执照等证明文件、自然人的身份证明：提供供应商合法注册的法人或者其他组织的营业执照等证明文件、自然人的身份证明；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或负责人身份证复印件及被授权人身份证复印件）；法定代表人或负责人直接参加磋商提供法定代表人资格证明书（附法定代表人或负责人身份证复印件）；采购文件凡是法定代表人之处，非法人单位的负责人均参照执行；</w:t>
      </w:r>
    </w:p>
    <w:p>
      <w:pPr>
        <w:pStyle w:val="null3"/>
      </w:pPr>
      <w:r>
        <w:rPr>
          <w:rFonts w:ascii="仿宋_GB2312" w:hAnsi="仿宋_GB2312" w:cs="仿宋_GB2312" w:eastAsia="仿宋_GB2312"/>
        </w:rPr>
        <w:t>8、企业资质及拟派项目经理资质和专业要求：供应商须具备建设行政主管部门颁发的建筑装修装饰工程专业承包二级（含二级）以上资质；合格有效的安全生产许可证；拟派项目经理具备建设行政主管部门颁发的建筑工程专业注册建造师二级（含二级）以上执业资格，具有有效的安全生产考核合格证书（建安B证），在本单位注册且无在建工程、无不良记录；（提供无在建工程、无不良记录承诺书）</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资审小组在磋商响应截止日当天在“信用中国”网站和“中国政府采购网”进行查询，截图留档；如网站无供应商信息的，供应商须提供相关证明资料或书面声明）</w:t>
      </w:r>
    </w:p>
    <w:p>
      <w:pPr>
        <w:pStyle w:val="null3"/>
      </w:pPr>
      <w:r>
        <w:rPr>
          <w:rFonts w:ascii="仿宋_GB2312" w:hAnsi="仿宋_GB2312" w:cs="仿宋_GB2312" w:eastAsia="仿宋_GB2312"/>
        </w:rPr>
        <w:t>10、控股管理关系：单位负责人为同一人或者存在直接控股、管理关系的不同供应商，不得参加同一合同项下的政府采购活动。(此项由资审小组在磋商响应截止日当天在“国家企业信用信息公示系统”网站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西安市艺术学校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西安市金花南路17号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西安市艺术学校经办刘宗茂</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029-83293292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陕西省西安市经开区张家堡转盘东南角正尚国际金融广场A座7层703室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郅龙（8号工位）、姚文霄、王丽娇、魏蕾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原《国家计委关于印发&lt;招标代理服务收费管理暂行办法&gt;的通知》(计价格〔2002〕1980号)、《国家发展改革委关于降低部分建设项目收费标准规范收费行为等有关问题的通知》(发改价格〔2011〕534号)规定标准下浮10%执行。1.开户行名称：陕西上德招标有限公司 2.开 户 行：西安银行股份有限公司文景路支行 3.账 号：7070 1151 0000 0135 22 4.西安银行文景路行号：313791000509 财务部联系方式： 029-86673953、029-86518381、029-89299829、029-89293231 转813 备注：供应商在汇款时须注明项目编号+项目简称</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西安市艺术学校</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西安市艺术学校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西安市艺术学校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供应商需提供技术资料，并承诺提供无限期支持，采购人享有使用权（含采购人委托第三方在该项目后续的使用权）。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验收标准按照国家、行业有关规范和要求执行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联系人：郅龙（8号工位）</w:t>
      </w:r>
    </w:p>
    <w:p>
      <w:pPr>
        <w:pStyle w:val="null3"/>
      </w:pPr>
      <w:r>
        <w:rPr>
          <w:rFonts w:ascii="仿宋_GB2312" w:hAnsi="仿宋_GB2312" w:cs="仿宋_GB2312" w:eastAsia="仿宋_GB2312"/>
        </w:rPr>
        <w:t>联系电话：029-86673953转808</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693,138.37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实习剧场座椅大屏灯光购置项目（装修）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标的名称：实习剧场座椅大屏灯光购置项目（装修）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按照国家及西安市现行施工规程、规范和标准，符合《建筑工程施工质量统一验收标准》（GB50300-2013）等现行相关标准合格等级。确保整体工程、各专业工程和分部工程均达到合格标准。1.项目在竣工后，成交人应向采购人提交工程竣工报告，申请工程竣工验收，并将施工过程中相关资料提交采购人。2.验收标准按照国家、行业有关规范和要求执行。3.成交人承诺完全达到国家有关部门验收标准，并全部通过验收为交付使用的基本条件，验收过程中的一切费用由成交供应商承担。4.验收依据 4.1合同文本及合同补充文件（条款）。4.2磋商文件。4.3磋商响应文件。4.4工程量清单。4.5建筑工程施工质量验收统一标准。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项目工期：2026年8月31日完成施工并验收合格。2、运输、施工：成交人负责材料的运输、施工及其他伴随服务。3、付款条件说明：3.1预付款，合同签订后，达到付款条件起7个工作日内，支付合同总金额的50.0%；3.2进度款，材料进场后，达到付款条件起7个工作日内，支付合同总金额的30.0%;3.3进度款，工程整体完工并验收合格后，达到付款条件起7个工作日内，支付合同总金额的17.0%；3.4结算款，2年后在无索赔争议的情况下，达到付款条件起7个工作内，支付合同总金额的3.0%。4、施工要求：4.1成交人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成交人负责。4.2成交人应配合项目建设进度,向采购人提供施工组织计划、进度计划和施工作业计划，并签订施工安全责任书。4.3采购人只提供电源、水源。成交人在施工期间不得破坏原有建筑。5、质量保证和售后服务：工程质保期符合文件要求及国家标准要求，不少于工程建设合格验收之日起2年。成交人承诺的质保时间超过文件要求的，按其承诺时间质保。成交人承诺的质保期起始时间为终验合格之日起。5.2工程质量等级达到合格或以上标准。5.3成交人应遵照国家规范规定的建筑工程施工质量标准及要求作出明确承诺。5.4在质量保证期内，成交人应具有良好、迅速的售后服务能力。6、磋商响应文件中提供的资质证书等材料在合同签订及履行期间持续有效，否则采购人有权终止合同并要求赔偿。7、合同实施：7.1成交人应在合同签订后，7个日历日内安排人员（项目组成人员简历表所列）就施工工作等进行安排、部署。7.2若因成交人原因未能在规定工期内完成合同规定的义务，由此对采购人造成的延误和一切损失，由成交人承担和赔偿。8、违约责任：8.1按《中华人民共和国民法典》中的相关条款执行；8.2未按合同要求提供工程质量或工程质量不能满足技术要求，采购人有权终止合同，并对供方违约行为进行追究，同时按《中华人民共和国政府采购法》的有关规定进行处罚。8.3供应商须确保磋商响应文件中提供的资质、证书等证明材料，须在合同签订及履行期间持续有效，否则采购人有权终止合同并要求赔偿。</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成交人在领取成交通知书时提供一正两副纸质竞争性磋商响应文件。装订：纸质竞争性磋商响应文件采用书籍（胶装）方式装订成册，与电子版文件一致的签字、盖章的完整版本。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供应商需在项目电子化交易系统中按要求上传相应证明文件并进行电子签章。本项审查内容与特殊资格要求的“财务状况报告”审查为同一项内容。</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或负责人身份证复印件及被授权人身份证复印件）；法定代表人或负责人直接参加磋商提供法定代表人资格证明书（附法定代表人或负责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企业资质及拟派项目经理资质和专业要求</w:t>
            </w:r>
          </w:p>
        </w:tc>
        <w:tc>
          <w:tcPr>
            <w:tcW w:type="dxa" w:w="3322"/>
          </w:tcPr>
          <w:p>
            <w:pPr>
              <w:pStyle w:val="null3"/>
            </w:pPr>
            <w:r>
              <w:rPr>
                <w:rFonts w:ascii="仿宋_GB2312" w:hAnsi="仿宋_GB2312" w:cs="仿宋_GB2312" w:eastAsia="仿宋_GB2312"/>
              </w:rPr>
              <w:t>供应商须具备建设行政主管部门颁发的建筑装修装饰工程专业承包二级（含二级）以上资质；合格有效的安全生产许可证；拟派项目经理具备建设行政主管部门颁发的建筑工程专业注册建造师二级（含二级）以上执业资格，具有有效的安全生产考核合格证书（建安B证），在本单位注册且无在建工程、无不良记录；（提供无在建工程、无不良记录承诺书）</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资审小组在磋商响应截止日当天在“信用中国”网站和“中国政府采购网”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由资审小组在磋商响应截止日当天在“国家企业信用信息公示系统”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中小企业声明函 法定代表人资格证明书.docx 承诺书.docx 竞争性磋商文件及合同条款的承诺.docx 工程量清单计价表.docx 响应文件封面 技术标附表.docx 残疾人福利性单位声明函 拒绝政府采购领域商业贿赂承诺书.docx 供应商参与政府采购活动的承诺函.docx 响应函 供应商认为有必要补充说明的事宜.docx 资质证明文件.docx 监狱企业的证明文件 技术、服务、商务及其他要求响应偏离表.docx 技术标.docx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中小企业声明函 法定代表人资格证明书.docx 承诺书.docx 竞争性磋商文件及合同条款的承诺.docx 响应文件封面 残疾人福利性单位声明函 拒绝政府采购领域商业贿赂承诺书.docx 供应商参与政府采购活动的承诺函.docx 标的清单 响应函 供应商认为有必要补充说明的事宜.docx 资质证明文件.docx 监狱企业的证明文件 技术、服务、商务及其他要求响应偏离表.docx 技术标.docx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磋商报价未超过最高限价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报价函 标的清单 响应函 技术标.docx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商务响应及技术响应</w:t>
            </w:r>
          </w:p>
        </w:tc>
        <w:tc>
          <w:tcPr>
            <w:tcW w:type="dxa" w:w="3322"/>
          </w:tcPr>
          <w:p>
            <w:pPr>
              <w:pStyle w:val="null3"/>
            </w:pPr>
            <w:r>
              <w:rPr>
                <w:rFonts w:ascii="仿宋_GB2312" w:hAnsi="仿宋_GB2312" w:cs="仿宋_GB2312" w:eastAsia="仿宋_GB2312"/>
              </w:rPr>
              <w:t>对磋商文件商务要求是否作出明确且实质性响应；对磋商文件技术要求是否作出明确响应，对不得偏离的要求是否作出实质性响应；</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磋商响应文件未含有采购人不能接受的附加条件</w:t>
            </w:r>
          </w:p>
        </w:tc>
        <w:tc>
          <w:tcPr>
            <w:tcW w:type="dxa" w:w="3322"/>
          </w:tcPr>
          <w:p>
            <w:pPr>
              <w:pStyle w:val="null3"/>
            </w:pPr>
            <w:r>
              <w:rPr>
                <w:rFonts w:ascii="仿宋_GB2312" w:hAnsi="仿宋_GB2312" w:cs="仿宋_GB2312" w:eastAsia="仿宋_GB2312"/>
              </w:rPr>
              <w:t>磋商响应文件未含有采购人不能接受的附加条件</w:t>
            </w:r>
          </w:p>
        </w:tc>
        <w:tc>
          <w:tcPr>
            <w:tcW w:type="dxa" w:w="1661"/>
          </w:tcPr>
          <w:p>
            <w:pPr>
              <w:pStyle w:val="null3"/>
            </w:pPr>
            <w:r>
              <w:rPr>
                <w:rFonts w:ascii="仿宋_GB2312" w:hAnsi="仿宋_GB2312" w:cs="仿宋_GB2312" w:eastAsia="仿宋_GB2312"/>
              </w:rPr>
              <w:t>中小企业声明函 残疾人福利性单位声明函 拒绝政府采购领域商业贿赂承诺书.docx 报价函 供应商参与政府采购活动的承诺函.docx 标的清单 承诺书.docx 竞争性磋商文件及合同条款的承诺.docx 响应函 供应商认为有必要补充说明的事宜.docx 监狱企业的证明文件 技术、服务、商务及其他要求响应偏离表.docx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未含法律、法规和磋商文件规定的其他无效响应情形。</w:t>
            </w:r>
          </w:p>
        </w:tc>
        <w:tc>
          <w:tcPr>
            <w:tcW w:type="dxa" w:w="1661"/>
          </w:tcPr>
          <w:p>
            <w:pPr>
              <w:pStyle w:val="null3"/>
            </w:pPr>
            <w:r>
              <w:rPr>
                <w:rFonts w:ascii="仿宋_GB2312" w:hAnsi="仿宋_GB2312" w:cs="仿宋_GB2312" w:eastAsia="仿宋_GB2312"/>
              </w:rPr>
              <w:t>中小企业声明函 法定代表人资格证明书.docx 承诺书.docx 竞争性磋商文件及合同条款的承诺.docx 工程量清单计价表.docx 技术标附表.docx 残疾人福利性单位声明函 拒绝政府采购领域商业贿赂承诺书.docx 供应商参与政府采购活动的承诺函.docx 标的清单 供应商认为有必要补充说明的事宜.docx 资质证明文件.docx 监狱企业的证明文件 技术、服务、商务及其他要求响应偏离表.docx 技术标.docx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技术响应1</w:t>
            </w:r>
          </w:p>
        </w:tc>
        <w:tc>
          <w:tcPr>
            <w:tcW w:type="dxa" w:w="2492"/>
          </w:tcPr>
          <w:p>
            <w:pPr>
              <w:pStyle w:val="null3"/>
            </w:pPr>
            <w:r>
              <w:rPr>
                <w:rFonts w:ascii="仿宋_GB2312" w:hAnsi="仿宋_GB2312" w:cs="仿宋_GB2312" w:eastAsia="仿宋_GB2312"/>
              </w:rPr>
              <w:t>供应商针对本项目编制完善的工程质量技术组织措施，内容包含但不限于：①质量目标管理体系、②施工质量的检验制度、③确保质量的技术组织措施、④材料储存方案。 评审标准： 上述4项内容无缺项、无缺陷的得6分，每缺少一项扣1.5分，每项中每有1处存在内容缺陷扣0.5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技术标附表.docx</w:t>
            </w:r>
          </w:p>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技术响应2</w:t>
            </w:r>
          </w:p>
        </w:tc>
        <w:tc>
          <w:tcPr>
            <w:tcW w:type="dxa" w:w="2492"/>
          </w:tcPr>
          <w:p>
            <w:pPr>
              <w:pStyle w:val="null3"/>
            </w:pPr>
            <w:r>
              <w:rPr>
                <w:rFonts w:ascii="仿宋_GB2312" w:hAnsi="仿宋_GB2312" w:cs="仿宋_GB2312" w:eastAsia="仿宋_GB2312"/>
              </w:rPr>
              <w:t>供应商针对本项目编制完善的文明施工及环境保护措施，内容包含但不限于：①安全文明施工目标及施工现场的临时管理措施、②文明施工保障措施、③环境保护管理体系及环保控制措施、④污染物及废弃物处理的排放、噪音控制及防尘及扬尘的控制措施。 评审标准 上述4项内容无缺项、无缺陷的得6分，每缺少一项扣1.5分，每项中每有1处存在内容缺陷扣0.5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技术响应3</w:t>
            </w:r>
          </w:p>
        </w:tc>
        <w:tc>
          <w:tcPr>
            <w:tcW w:type="dxa" w:w="2492"/>
          </w:tcPr>
          <w:p>
            <w:pPr>
              <w:pStyle w:val="null3"/>
            </w:pPr>
            <w:r>
              <w:rPr>
                <w:rFonts w:ascii="仿宋_GB2312" w:hAnsi="仿宋_GB2312" w:cs="仿宋_GB2312" w:eastAsia="仿宋_GB2312"/>
              </w:rPr>
              <w:t>供应商针对本项目编制完善的安全生产的技术组织措施，内容包含但不限于：①安全管理体系、②安全责任归属划分、③安全标识（安全警戒标语、施工人员安全警示服和安全帽穿配要求、安全教育培训）。 评审标准 上述3项内容无缺项、无缺陷的得6分，每缺少一项扣2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技术响应4</w:t>
            </w:r>
          </w:p>
        </w:tc>
        <w:tc>
          <w:tcPr>
            <w:tcW w:type="dxa" w:w="2492"/>
          </w:tcPr>
          <w:p>
            <w:pPr>
              <w:pStyle w:val="null3"/>
            </w:pPr>
            <w:r>
              <w:rPr>
                <w:rFonts w:ascii="仿宋_GB2312" w:hAnsi="仿宋_GB2312" w:cs="仿宋_GB2312" w:eastAsia="仿宋_GB2312"/>
              </w:rPr>
              <w:t>供应商针对本项目编制完善的工期的技术组织措施，内容包含但不限于：①施工组织与工期保证措施、②特殊情况保证（夜间、雨季、高温）。 评审标准 上述2项内容无缺项、无缺陷的得6分，每缺少一项扣3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技术响应5</w:t>
            </w:r>
          </w:p>
        </w:tc>
        <w:tc>
          <w:tcPr>
            <w:tcW w:type="dxa" w:w="2492"/>
          </w:tcPr>
          <w:p>
            <w:pPr>
              <w:pStyle w:val="null3"/>
            </w:pPr>
            <w:r>
              <w:rPr>
                <w:rFonts w:ascii="仿宋_GB2312" w:hAnsi="仿宋_GB2312" w:cs="仿宋_GB2312" w:eastAsia="仿宋_GB2312"/>
              </w:rPr>
              <w:t>供应商针对本项目编制完善的施工方案，内容包含但不限于：①具体施工内容、②施工次序、③施工方法（工艺）、④成品保护措施。 评审标准 上述4项内容无缺项、无缺陷的得10分，每缺少一项扣2.5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技术响应6</w:t>
            </w:r>
          </w:p>
        </w:tc>
        <w:tc>
          <w:tcPr>
            <w:tcW w:type="dxa" w:w="2492"/>
          </w:tcPr>
          <w:p>
            <w:pPr>
              <w:pStyle w:val="null3"/>
            </w:pPr>
            <w:r>
              <w:rPr>
                <w:rFonts w:ascii="仿宋_GB2312" w:hAnsi="仿宋_GB2312" w:cs="仿宋_GB2312" w:eastAsia="仿宋_GB2312"/>
              </w:rPr>
              <w:t>供应商针对本项目编制完善的施工机械及材料投入计划，内容包含但不限于：①拟投入的主要施工机械设备计划、②主要材料进场计划。 评审标准 上述2项内容无缺项、无缺陷的得6分，每缺少一项扣3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技术响应7</w:t>
            </w:r>
          </w:p>
        </w:tc>
        <w:tc>
          <w:tcPr>
            <w:tcW w:type="dxa" w:w="2492"/>
          </w:tcPr>
          <w:p>
            <w:pPr>
              <w:pStyle w:val="null3"/>
            </w:pPr>
            <w:r>
              <w:rPr>
                <w:rFonts w:ascii="仿宋_GB2312" w:hAnsi="仿宋_GB2312" w:cs="仿宋_GB2312" w:eastAsia="仿宋_GB2312"/>
              </w:rPr>
              <w:t>供应商针对本项目编制完善的施工进度网络图或施工进度表，内容包含但不限于：①施工总进度、②施工进度目标和施工总进度计划表/图、③施工进度保障措施。 评审标准 上述3项内容无缺项、无缺陷的得6分，每缺少一项扣2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技术响应8</w:t>
            </w:r>
          </w:p>
        </w:tc>
        <w:tc>
          <w:tcPr>
            <w:tcW w:type="dxa" w:w="2492"/>
          </w:tcPr>
          <w:p>
            <w:pPr>
              <w:pStyle w:val="null3"/>
            </w:pPr>
            <w:r>
              <w:rPr>
                <w:rFonts w:ascii="仿宋_GB2312" w:hAnsi="仿宋_GB2312" w:cs="仿宋_GB2312" w:eastAsia="仿宋_GB2312"/>
              </w:rPr>
              <w:t>供应商针对本项目编制完善的劳动力安排计划及劳务分包情况，内容包含但不限于：①劳动力投入计划②劳动力保障措施。 评审标准 上述2项内容无缺项、无缺陷的得6分，每缺少一项扣3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技术响应9</w:t>
            </w:r>
          </w:p>
        </w:tc>
        <w:tc>
          <w:tcPr>
            <w:tcW w:type="dxa" w:w="2492"/>
          </w:tcPr>
          <w:p>
            <w:pPr>
              <w:pStyle w:val="null3"/>
            </w:pPr>
            <w:r>
              <w:rPr>
                <w:rFonts w:ascii="仿宋_GB2312" w:hAnsi="仿宋_GB2312" w:cs="仿宋_GB2312" w:eastAsia="仿宋_GB2312"/>
              </w:rPr>
              <w:t>供应商针对本项目编制完善的项目经理部组织机构，内容包含但不限于：①项目成员配置清单及架构、②项目组配备人员的专业素质、③人员结构、④项目成员的主要职责及工作内容。 评审标准 上述4项内容无缺项、无缺陷的得6分，每缺少一项扣1.5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供应商针对本项目编制完善的服务承诺，内容包含但不限于：①对招标文件和合同条款的响应承诺、②针对本项目实际需求提供实质性服务承诺及保障措施、③针对本项目的施工验收后期的质保承诺。 评审标准 上述3项内容无缺项、无缺陷的得6分，每缺少一项扣2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以合同形式提供供应商2022年01月至今类似项目业绩，每份计2分，计满6分为止。（以合同签订时间为准，附合同复印件）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工程量清单计价表.docx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详见附件：法定代表人资格证明书.docx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详见附件：技术、服务、商务及其他要求响应偏离表.docx</w:t>
      </w:r>
    </w:p>
    <w:p>
      <w:pPr>
        <w:pStyle w:val="null3"/>
        <w:ind w:firstLine="960"/>
      </w:pPr>
      <w:r>
        <w:rPr>
          <w:rFonts w:ascii="仿宋_GB2312" w:hAnsi="仿宋_GB2312" w:cs="仿宋_GB2312" w:eastAsia="仿宋_GB2312"/>
        </w:rPr>
        <w:t>详见附件：竞争性磋商文件及合同条款的承诺.docx</w:t>
      </w:r>
    </w:p>
    <w:p>
      <w:pPr>
        <w:pStyle w:val="null3"/>
        <w:ind w:firstLine="960"/>
      </w:pPr>
      <w:r>
        <w:rPr>
          <w:rFonts w:ascii="仿宋_GB2312" w:hAnsi="仿宋_GB2312" w:cs="仿宋_GB2312" w:eastAsia="仿宋_GB2312"/>
        </w:rPr>
        <w:t>详见附件：工程量清单计价表.docx</w:t>
      </w:r>
    </w:p>
    <w:p>
      <w:pPr>
        <w:pStyle w:val="null3"/>
        <w:ind w:firstLine="960"/>
      </w:pPr>
      <w:r>
        <w:rPr>
          <w:rFonts w:ascii="仿宋_GB2312" w:hAnsi="仿宋_GB2312" w:cs="仿宋_GB2312" w:eastAsia="仿宋_GB2312"/>
        </w:rPr>
        <w:t>详见附件：技术标.docx</w:t>
      </w:r>
    </w:p>
    <w:p>
      <w:pPr>
        <w:pStyle w:val="null3"/>
        <w:ind w:firstLine="960"/>
      </w:pPr>
      <w:r>
        <w:rPr>
          <w:rFonts w:ascii="仿宋_GB2312" w:hAnsi="仿宋_GB2312" w:cs="仿宋_GB2312" w:eastAsia="仿宋_GB2312"/>
        </w:rPr>
        <w:t>详见附件：技术标附表.docx</w:t>
      </w:r>
    </w:p>
    <w:p>
      <w:pPr>
        <w:pStyle w:val="null3"/>
        <w:ind w:firstLine="960"/>
      </w:pPr>
      <w:r>
        <w:rPr>
          <w:rFonts w:ascii="仿宋_GB2312" w:hAnsi="仿宋_GB2312" w:cs="仿宋_GB2312" w:eastAsia="仿宋_GB2312"/>
        </w:rPr>
        <w:t>详见附件：供应商参与政府采购活动的承诺函.docx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详见附件：供应商认为有必要补充说明的事宜.docx</w:t>
      </w:r>
    </w:p>
    <w:p>
      <w:pPr>
        <w:pStyle w:val="null3"/>
        <w:ind w:firstLine="960"/>
      </w:pPr>
      <w:r>
        <w:rPr>
          <w:rFonts w:ascii="仿宋_GB2312" w:hAnsi="仿宋_GB2312" w:cs="仿宋_GB2312" w:eastAsia="仿宋_GB2312"/>
        </w:rPr>
        <w:t>详见附件：资质证明文件.docx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