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版本号：ZYJY-【2026】CS042420260508001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2026年干部网络学院平台升级及网络运维项目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ZYJY-【2026】CS0424</w:t>
      </w:r>
      <w:r>
        <w:br/>
      </w:r>
      <w:r>
        <w:br/>
      </w:r>
      <w:r>
        <w:br/>
      </w:r>
    </w:p>
    <w:p>
      <w:pPr>
        <w:pStyle w:val="null3"/>
        <w:jc w:val="center"/>
        <w:outlineLvl w:val="2"/>
      </w:pPr>
      <w:r>
        <w:rPr>
          <w:rFonts w:ascii="仿宋_GB2312" w:hAnsi="仿宋_GB2312" w:cs="仿宋_GB2312" w:eastAsia="仿宋_GB2312"/>
          <w:sz w:val="28"/>
          <w:b/>
        </w:rPr>
        <w:t>西安开放大学</w:t>
      </w:r>
    </w:p>
    <w:p>
      <w:pPr>
        <w:pStyle w:val="null3"/>
        <w:jc w:val="center"/>
        <w:outlineLvl w:val="2"/>
      </w:pPr>
      <w:r>
        <w:rPr>
          <w:rFonts w:ascii="仿宋_GB2312" w:hAnsi="仿宋_GB2312" w:cs="仿宋_GB2312" w:eastAsia="仿宋_GB2312"/>
          <w:sz w:val="28"/>
          <w:b/>
        </w:rPr>
        <w:t>陕西知源集易招标代理有限公司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陕西知源集易招标代理有限公司</w:t>
      </w:r>
      <w:r>
        <w:rPr>
          <w:rFonts w:ascii="仿宋_GB2312" w:hAnsi="仿宋_GB2312" w:cs="仿宋_GB2312" w:eastAsia="仿宋_GB2312"/>
        </w:rPr>
        <w:t>（以下简称“代理机构”）受</w:t>
      </w:r>
      <w:r>
        <w:rPr>
          <w:rFonts w:ascii="仿宋_GB2312" w:hAnsi="仿宋_GB2312" w:cs="仿宋_GB2312" w:eastAsia="仿宋_GB2312"/>
        </w:rPr>
        <w:t>西安开放大学</w:t>
      </w:r>
      <w:r>
        <w:rPr>
          <w:rFonts w:ascii="仿宋_GB2312" w:hAnsi="仿宋_GB2312" w:cs="仿宋_GB2312" w:eastAsia="仿宋_GB2312"/>
        </w:rPr>
        <w:t>委托，拟对</w:t>
      </w:r>
      <w:r>
        <w:rPr>
          <w:rFonts w:ascii="仿宋_GB2312" w:hAnsi="仿宋_GB2312" w:cs="仿宋_GB2312" w:eastAsia="仿宋_GB2312"/>
        </w:rPr>
        <w:t>2026年干部网络学院平台升级及网络运维项目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ZYJY-【2026】CS0424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2026年干部网络学院平台升级及网络运维项目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西安开放大学2026年干部网络学院平台升级及网络运维项目，具体详见磋商文件第三章。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采购包1（西安开放大学2026年干部网络学院平台升级及网络运维项目）：属于专门面向中小企业采购。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3、财务状况报告：财务状况报告：提供2024年度或2025年度完整版的财务审计报告（成立时间至提交投标文件截止时间不足一年的可提供成立后任意时段的资产负债表），或投标时间前六个月内基本账户银行出具的资信证明；</w:t>
      </w:r>
    </w:p>
    <w:p>
      <w:pPr>
        <w:pStyle w:val="null3"/>
      </w:pPr>
      <w:r>
        <w:rPr>
          <w:rFonts w:ascii="仿宋_GB2312" w:hAnsi="仿宋_GB2312" w:cs="仿宋_GB2312" w:eastAsia="仿宋_GB2312"/>
        </w:rPr>
        <w:t>4、税收缴纳证明：税收缴纳证明：提供投标截止之日前一年内已缴纳的至少三个月的纳税证明或完税证明（任意税种），依法免税的单位应提供相关证明材料；</w:t>
      </w:r>
    </w:p>
    <w:p>
      <w:pPr>
        <w:pStyle w:val="null3"/>
      </w:pPr>
      <w:r>
        <w:rPr>
          <w:rFonts w:ascii="仿宋_GB2312" w:hAnsi="仿宋_GB2312" w:cs="仿宋_GB2312" w:eastAsia="仿宋_GB2312"/>
        </w:rPr>
        <w:t>5、社会保障资金缴纳证明：社会保障资金缴纳证明：提供投标截止之日前一年内已缴存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6、专业技术能力：专业技术能力：提供具有履行本合同所必需的设备和专业技术能力的承诺书；</w:t>
      </w:r>
    </w:p>
    <w:p>
      <w:pPr>
        <w:pStyle w:val="null3"/>
      </w:pPr>
      <w:r>
        <w:rPr>
          <w:rFonts w:ascii="仿宋_GB2312" w:hAnsi="仿宋_GB2312" w:cs="仿宋_GB2312" w:eastAsia="仿宋_GB2312"/>
        </w:rPr>
        <w:t>7、无重大违法说明：无重大违法说明：参加政府采购活动前3年内，在经营活动中没有重大违法记录的书面声明；</w:t>
      </w:r>
    </w:p>
    <w:p>
      <w:pPr>
        <w:pStyle w:val="null3"/>
      </w:pPr>
      <w:r>
        <w:rPr>
          <w:rFonts w:ascii="仿宋_GB2312" w:hAnsi="仿宋_GB2312" w:cs="仿宋_GB2312" w:eastAsia="仿宋_GB2312"/>
        </w:rPr>
        <w:t>8、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pPr>
        <w:pStyle w:val="null3"/>
      </w:pPr>
      <w:r>
        <w:rPr>
          <w:rFonts w:ascii="仿宋_GB2312" w:hAnsi="仿宋_GB2312" w:cs="仿宋_GB2312" w:eastAsia="仿宋_GB2312"/>
        </w:rPr>
        <w:t>9、控股关系承诺书：控股关系承诺书：单位负责人为同一人或存在直接控股、管理关系的不同单位，不得参加同一合同项下的政府采购活动；</w:t>
      </w:r>
    </w:p>
    <w:p>
      <w:pPr>
        <w:pStyle w:val="null3"/>
      </w:pPr>
      <w:r>
        <w:rPr>
          <w:rFonts w:ascii="仿宋_GB2312" w:hAnsi="仿宋_GB2312" w:cs="仿宋_GB2312" w:eastAsia="仿宋_GB2312"/>
        </w:rPr>
        <w:t>10、非联合体承诺书：本项目不接受联合体投标。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西安市碑林区五味什字48号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029-87610025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陕西知源集易招标代理有限公司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陕西省西安市高新区科技二路兰基中心10楼1003室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郑凡、赵雪静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029-89520099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达到限额标准的项目按照《国家发展改革委关于进一步放开建设项目专业服务价格的通知》（发改价格（2015）299号）文件的要求，结合市场实际情况，经甲、乙双方协商一致，以中标金额为基准，标准收取。 2、支付方式：成交供应商应在领取通知书的同时，支付本项目代理服务费。收款账户如下： 收款单位：陕西知源集易招标代理有限公司 开户银行：西安银行股份有限公司西安曲江支行 银行账号：981011510000073005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西安开放大学</w:t>
      </w:r>
      <w:r>
        <w:rPr>
          <w:rFonts w:ascii="仿宋_GB2312" w:hAnsi="仿宋_GB2312" w:cs="仿宋_GB2312" w:eastAsia="仿宋_GB2312"/>
        </w:rPr>
        <w:t>和</w:t>
      </w:r>
      <w:r>
        <w:rPr>
          <w:rFonts w:ascii="仿宋_GB2312" w:hAnsi="仿宋_GB2312" w:cs="仿宋_GB2312" w:eastAsia="仿宋_GB2312"/>
        </w:rPr>
        <w:t>陕西知源集易招标代理有限公司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陕西知源集易招标代理有限公司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陕西知源集易招标代理有限公司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联系人：郑凡、赵雪静</w:t>
      </w:r>
    </w:p>
    <w:p>
      <w:pPr>
        <w:pStyle w:val="null3"/>
      </w:pPr>
      <w:r>
        <w:rPr>
          <w:rFonts w:ascii="仿宋_GB2312" w:hAnsi="仿宋_GB2312" w:cs="仿宋_GB2312" w:eastAsia="仿宋_GB2312"/>
        </w:rPr>
        <w:t>联系电话：029-89520099</w:t>
      </w:r>
    </w:p>
    <w:p>
      <w:pPr>
        <w:pStyle w:val="null3"/>
      </w:pPr>
      <w:r>
        <w:rPr>
          <w:rFonts w:ascii="仿宋_GB2312" w:hAnsi="仿宋_GB2312" w:cs="仿宋_GB2312" w:eastAsia="仿宋_GB2312"/>
        </w:rPr>
        <w:t>地址：陕西省西安市高新区科技二路兰基中心10楼1003室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干部网络学院和西安干部网络学院为进一步加强干部教育网络培训工作，确保干部网络培训顺利开展，保证干部网络学院平台稳定运行，需进一步加强网络环境建设，对省级及二级平台进行功能升级，为学员提供更加快捷、流畅的学习体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成人教育服务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标的名称：成人教育服务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6"/>
              <w:gridCol w:w="131"/>
              <w:gridCol w:w="2286"/>
            </w:tblGrid>
            <w:tr>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参数性质</w:t>
                  </w:r>
                </w:p>
              </w:tc>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序号</w:t>
                  </w:r>
                </w:p>
              </w:tc>
              <w:tc>
                <w:tcPr>
                  <w:tcW w:type="dxa" w:w="2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技术参数与性能指标</w:t>
                  </w:r>
                </w:p>
              </w:tc>
            </w:tr>
            <w:tr>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2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陕西干部网络学院和西安干部网络学院为进一步加强干部教育网络培训工作，确保干部网络培训顺利开展，保证干部网络学院平台稳定运行，需进一步加强网络环境建设，对省级及二级平台进行功能升级，为学员提供更加快捷、流畅的学习体验。</w:t>
                  </w:r>
                </w:p>
                <w:p>
                  <w:pPr>
                    <w:pStyle w:val="null3"/>
                    <w:ind w:firstLine="402"/>
                    <w:jc w:val="both"/>
                  </w:pPr>
                  <w:r>
                    <w:rPr>
                      <w:rFonts w:ascii="仿宋_GB2312" w:hAnsi="仿宋_GB2312" w:cs="仿宋_GB2312" w:eastAsia="仿宋_GB2312"/>
                      <w:sz w:val="20"/>
                      <w:b/>
                    </w:rPr>
                    <w:t>二、服务内容</w:t>
                  </w:r>
                </w:p>
                <w:p>
                  <w:pPr>
                    <w:pStyle w:val="null3"/>
                    <w:ind w:firstLine="400"/>
                    <w:jc w:val="both"/>
                  </w:pPr>
                  <w:r>
                    <w:rPr>
                      <w:rFonts w:ascii="仿宋_GB2312" w:hAnsi="仿宋_GB2312" w:cs="仿宋_GB2312" w:eastAsia="仿宋_GB2312"/>
                      <w:sz w:val="20"/>
                    </w:rPr>
                    <w:t>(一)平台数据及功能日常维护：</w:t>
                  </w:r>
                </w:p>
                <w:p>
                  <w:pPr>
                    <w:pStyle w:val="null3"/>
                    <w:ind w:firstLine="400"/>
                    <w:jc w:val="both"/>
                  </w:pPr>
                  <w:r>
                    <w:rPr>
                      <w:rFonts w:ascii="仿宋_GB2312" w:hAnsi="仿宋_GB2312" w:cs="仿宋_GB2312" w:eastAsia="仿宋_GB2312"/>
                      <w:sz w:val="20"/>
                    </w:rPr>
                    <w:t>1.陕西干部教育数据安全服务平台线上运行服务支持，服务器运维监控，页面数据异常问题分析及修复，日常常规需求更新处理。</w:t>
                  </w:r>
                </w:p>
                <w:p>
                  <w:pPr>
                    <w:pStyle w:val="null3"/>
                    <w:ind w:firstLine="400"/>
                    <w:jc w:val="both"/>
                  </w:pPr>
                  <w:r>
                    <w:rPr>
                      <w:rFonts w:ascii="仿宋_GB2312" w:hAnsi="仿宋_GB2312" w:cs="仿宋_GB2312" w:eastAsia="仿宋_GB2312"/>
                      <w:sz w:val="20"/>
                    </w:rPr>
                    <w:t>2.陕西干部教育培训管理系统线上运行服务支持，服务器运维监控，页面数据异常问题分析及修复，日常常规需求更新处理。</w:t>
                  </w:r>
                </w:p>
                <w:p>
                  <w:pPr>
                    <w:pStyle w:val="null3"/>
                    <w:ind w:firstLine="400"/>
                    <w:jc w:val="both"/>
                  </w:pPr>
                  <w:r>
                    <w:rPr>
                      <w:rFonts w:ascii="仿宋_GB2312" w:hAnsi="仿宋_GB2312" w:cs="仿宋_GB2312" w:eastAsia="仿宋_GB2312"/>
                      <w:sz w:val="20"/>
                    </w:rPr>
                    <w:t>3.陕西干部教育培训网线上运行服务支持，服务器运维监控，页面数据异常问题分析及修复，日常常规需求更新处理。</w:t>
                  </w:r>
                </w:p>
                <w:p>
                  <w:pPr>
                    <w:pStyle w:val="null3"/>
                    <w:ind w:firstLine="400"/>
                    <w:jc w:val="both"/>
                  </w:pPr>
                  <w:r>
                    <w:rPr>
                      <w:rFonts w:ascii="仿宋_GB2312" w:hAnsi="仿宋_GB2312" w:cs="仿宋_GB2312" w:eastAsia="仿宋_GB2312"/>
                      <w:sz w:val="20"/>
                    </w:rPr>
                    <w:t>4.陕西干部教育网络学院线上运行服务支持，服务器运维监控，页面数据异常问题分析及修复，日常常规需求更新处理。支持服务包括全省十个二级平台。</w:t>
                  </w:r>
                </w:p>
                <w:p>
                  <w:pPr>
                    <w:pStyle w:val="null3"/>
                    <w:ind w:firstLine="400"/>
                    <w:jc w:val="both"/>
                  </w:pPr>
                  <w:r>
                    <w:rPr>
                      <w:rFonts w:ascii="仿宋_GB2312" w:hAnsi="仿宋_GB2312" w:cs="仿宋_GB2312" w:eastAsia="仿宋_GB2312"/>
                      <w:sz w:val="20"/>
                    </w:rPr>
                    <w:t>5.陕西干部教育大数据看板系统线上运行服务支持，服务器运维监控，页面数据异常问题分析及修复，日常常规需求更新处理。</w:t>
                  </w:r>
                </w:p>
                <w:p>
                  <w:pPr>
                    <w:pStyle w:val="null3"/>
                    <w:ind w:firstLine="400"/>
                    <w:jc w:val="both"/>
                  </w:pPr>
                  <w:r>
                    <w:rPr>
                      <w:rFonts w:ascii="仿宋_GB2312" w:hAnsi="仿宋_GB2312" w:cs="仿宋_GB2312" w:eastAsia="仿宋_GB2312"/>
                      <w:sz w:val="20"/>
                    </w:rPr>
                    <w:t>(二)智能数据管理系统：</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0"/>
                    </w:rPr>
                    <w:t>.</w:t>
                  </w:r>
                  <w:r>
                    <w:rPr>
                      <w:rFonts w:ascii="仿宋_GB2312" w:hAnsi="仿宋_GB2312" w:cs="仿宋_GB2312" w:eastAsia="仿宋_GB2312"/>
                      <w:sz w:val="20"/>
                    </w:rPr>
                    <w:t>多源数据对接</w:t>
                  </w:r>
                </w:p>
                <w:p>
                  <w:pPr>
                    <w:pStyle w:val="null3"/>
                    <w:ind w:firstLine="400"/>
                    <w:jc w:val="both"/>
                  </w:pPr>
                  <w:r>
                    <w:rPr>
                      <w:rFonts w:ascii="仿宋_GB2312" w:hAnsi="仿宋_GB2312" w:cs="仿宋_GB2312" w:eastAsia="仿宋_GB2312"/>
                      <w:sz w:val="20"/>
                    </w:rPr>
                    <w:t>系统须针对业务场景，实现指定数据源系统的合规对接、授权数据同步、场景化加工与权限内管理，具体要求支持并不限于：关系型数据库、</w:t>
                  </w:r>
                  <w:r>
                    <w:rPr>
                      <w:rFonts w:ascii="仿宋_GB2312" w:hAnsi="仿宋_GB2312" w:cs="仿宋_GB2312" w:eastAsia="仿宋_GB2312"/>
                      <w:sz w:val="20"/>
                    </w:rPr>
                    <w:t>Web API数据源、大数据、国产数据库、文件型数据源等多种数据源，支持数据字典导入。</w:t>
                  </w:r>
                </w:p>
                <w:p>
                  <w:pPr>
                    <w:pStyle w:val="null3"/>
                    <w:ind w:firstLine="400"/>
                    <w:jc w:val="both"/>
                  </w:pPr>
                  <w:r>
                    <w:rPr>
                      <w:rFonts w:ascii="仿宋_GB2312" w:hAnsi="仿宋_GB2312" w:cs="仿宋_GB2312" w:eastAsia="仿宋_GB2312"/>
                      <w:sz w:val="20"/>
                    </w:rPr>
                    <w:t>2.场景化数据建模功能</w:t>
                  </w:r>
                </w:p>
                <w:p>
                  <w:pPr>
                    <w:pStyle w:val="null3"/>
                    <w:ind w:firstLine="400"/>
                    <w:jc w:val="both"/>
                  </w:pPr>
                  <w:r>
                    <w:rPr>
                      <w:rFonts w:ascii="仿宋_GB2312" w:hAnsi="仿宋_GB2312" w:cs="仿宋_GB2312" w:eastAsia="仿宋_GB2312"/>
                      <w:sz w:val="20"/>
                    </w:rPr>
                    <w:t>系统须具备可视化、无代码的场景化建模能力，支持业务人员自主完成相关数据整合、分析模型搭建与指标计算，无需编写</w:t>
                  </w:r>
                  <w:r>
                    <w:rPr>
                      <w:rFonts w:ascii="仿宋_GB2312" w:hAnsi="仿宋_GB2312" w:cs="仿宋_GB2312" w:eastAsia="仿宋_GB2312"/>
                      <w:sz w:val="20"/>
                    </w:rPr>
                    <w:t>SQL代码，具体要求支持并不限于：可视化建模、抽取建模、直连建模、ETL-数据加工、流式数据集等多种建模方式，支持支持在数据模型、数据集上面配置数据行、数据列访问权限，支持按照用户组织、角色等信息配置数据行、列的访问权限。</w:t>
                  </w:r>
                </w:p>
                <w:p>
                  <w:pPr>
                    <w:pStyle w:val="null3"/>
                    <w:ind w:firstLine="400"/>
                    <w:jc w:val="both"/>
                  </w:pPr>
                  <w:r>
                    <w:rPr>
                      <w:rFonts w:ascii="仿宋_GB2312" w:hAnsi="仿宋_GB2312" w:cs="仿宋_GB2312" w:eastAsia="仿宋_GB2312"/>
                      <w:sz w:val="20"/>
                    </w:rPr>
                    <w:t>3.BI可视化与自助式分析功能</w:t>
                  </w:r>
                </w:p>
                <w:p>
                  <w:pPr>
                    <w:pStyle w:val="null3"/>
                    <w:ind w:firstLine="400"/>
                    <w:jc w:val="both"/>
                  </w:pPr>
                  <w:r>
                    <w:rPr>
                      <w:rFonts w:ascii="仿宋_GB2312" w:hAnsi="仿宋_GB2312" w:cs="仿宋_GB2312" w:eastAsia="仿宋_GB2312"/>
                      <w:sz w:val="20"/>
                    </w:rPr>
                    <w:t>系统须具备强大的可视化分析能力，提供纯在线的可视化设计工具，支持业务人员自主完成看板、分析图表的制作，具体要求支持并不限于：在线仪表板和大屏设计器、数据可视化、拓扑图及反向控制、</w:t>
                  </w:r>
                  <w:r>
                    <w:rPr>
                      <w:rFonts w:ascii="仿宋_GB2312" w:hAnsi="仿宋_GB2312" w:cs="仿宋_GB2312" w:eastAsia="仿宋_GB2312"/>
                      <w:sz w:val="20"/>
                    </w:rPr>
                    <w:t>3D模型可视化、跨源计算图表、智能推荐分析、数据探索分析、图形预警等多种图表功能，支持多终端自适应及可视化插件。</w:t>
                  </w:r>
                </w:p>
                <w:p>
                  <w:pPr>
                    <w:pStyle w:val="null3"/>
                    <w:ind w:firstLine="400"/>
                    <w:jc w:val="both"/>
                  </w:pPr>
                  <w:r>
                    <w:rPr>
                      <w:rFonts w:ascii="仿宋_GB2312" w:hAnsi="仿宋_GB2312" w:cs="仿宋_GB2312" w:eastAsia="仿宋_GB2312"/>
                      <w:sz w:val="20"/>
                    </w:rPr>
                    <w:t>4.在线统计报表功能</w:t>
                  </w:r>
                </w:p>
                <w:p>
                  <w:pPr>
                    <w:pStyle w:val="null3"/>
                    <w:ind w:firstLine="400"/>
                    <w:jc w:val="both"/>
                  </w:pPr>
                  <w:r>
                    <w:rPr>
                      <w:rFonts w:ascii="仿宋_GB2312" w:hAnsi="仿宋_GB2312" w:cs="仿宋_GB2312" w:eastAsia="仿宋_GB2312"/>
                      <w:sz w:val="20"/>
                    </w:rPr>
                    <w:t>系统须具备强大的在线统计报表能力，提供纯在线的报表设计工具，支持业务人员自主完成统计报表，分析报告的制作，具体要求支持并不限于：在线报表设计器、报表分层、动态报表、报表打印、报表导出等功能。</w:t>
                  </w:r>
                </w:p>
                <w:p>
                  <w:pPr>
                    <w:pStyle w:val="null3"/>
                    <w:ind w:firstLine="400"/>
                    <w:jc w:val="both"/>
                  </w:pPr>
                  <w:r>
                    <w:rPr>
                      <w:rFonts w:ascii="仿宋_GB2312" w:hAnsi="仿宋_GB2312" w:cs="仿宋_GB2312" w:eastAsia="仿宋_GB2312"/>
                      <w:sz w:val="20"/>
                    </w:rPr>
                    <w:t>5.AI对话式分析</w:t>
                  </w:r>
                </w:p>
                <w:p>
                  <w:pPr>
                    <w:pStyle w:val="null3"/>
                    <w:ind w:firstLine="400"/>
                    <w:jc w:val="both"/>
                  </w:pPr>
                  <w:r>
                    <w:rPr>
                      <w:rFonts w:ascii="仿宋_GB2312" w:hAnsi="仿宋_GB2312" w:cs="仿宋_GB2312" w:eastAsia="仿宋_GB2312"/>
                      <w:sz w:val="20"/>
                    </w:rPr>
                    <w:t>系统须具备先进的自然语言处理能力，支持用户通过简单的对话交互完成复杂的数据查询与分析，降低数据分析门槛，具体要求支持并不限于：（</w:t>
                  </w:r>
                  <w:r>
                    <w:rPr>
                      <w:rFonts w:ascii="仿宋_GB2312" w:hAnsi="仿宋_GB2312" w:cs="仿宋_GB2312" w:eastAsia="仿宋_GB2312"/>
                      <w:sz w:val="20"/>
                    </w:rPr>
                    <w:t>1）大模型集成与部署：支持集成对接DeepSeek，通义千问，豆包等所有兼容OpenAI规范的大模型；（2）AI对话分析：通过自然语言输入业务需求，智能生成可视化图表和数据解读结果，智能洞察；（3）AI高级分析：展示完整分析、逻辑推演过程，可回溯分析过程，同时围绕问题生成简要的图文分析报告。</w:t>
                  </w:r>
                </w:p>
                <w:p>
                  <w:pPr>
                    <w:pStyle w:val="null3"/>
                    <w:ind w:firstLine="400"/>
                    <w:jc w:val="both"/>
                  </w:pPr>
                  <w:r>
                    <w:rPr>
                      <w:rFonts w:ascii="仿宋_GB2312" w:hAnsi="仿宋_GB2312" w:cs="仿宋_GB2312" w:eastAsia="仿宋_GB2312"/>
                      <w:sz w:val="20"/>
                    </w:rPr>
                    <w:t>6.嵌入式分析</w:t>
                  </w:r>
                </w:p>
                <w:p>
                  <w:pPr>
                    <w:pStyle w:val="null3"/>
                    <w:ind w:firstLine="400"/>
                    <w:jc w:val="both"/>
                  </w:pPr>
                  <w:r>
                    <w:rPr>
                      <w:rFonts w:ascii="仿宋_GB2312" w:hAnsi="仿宋_GB2312" w:cs="仿宋_GB2312" w:eastAsia="仿宋_GB2312"/>
                      <w:sz w:val="20"/>
                    </w:rPr>
                    <w:t>系统须提供灵活的嵌入式分析能力，支持将报表、仪表板及分析组件无缝集成到第三方业务系统（如</w:t>
                  </w:r>
                  <w:r>
                    <w:rPr>
                      <w:rFonts w:ascii="仿宋_GB2312" w:hAnsi="仿宋_GB2312" w:cs="仿宋_GB2312" w:eastAsia="仿宋_GB2312"/>
                      <w:sz w:val="20"/>
                    </w:rPr>
                    <w:t>OA、ERP、CRM等）中，支持对接统一身份认证中心，具体要求支持并不限于：（1）门户嵌入和自定义：嵌入到第三方B/S、C/S和APP应用中；（2）在线设计器嵌入：支持将在线设计器嵌入到其他应用种；（3）文档整体嵌入；（4）单个图表嵌入；（5）移动APP嵌入；（6）支持多系统单点登录；（7）数据查询API等多种嵌入方式与数据分析。</w:t>
                  </w:r>
                </w:p>
                <w:p>
                  <w:pPr>
                    <w:pStyle w:val="null3"/>
                    <w:ind w:firstLine="400"/>
                    <w:jc w:val="both"/>
                  </w:pPr>
                  <w:r>
                    <w:rPr>
                      <w:rFonts w:ascii="仿宋_GB2312" w:hAnsi="仿宋_GB2312" w:cs="仿宋_GB2312" w:eastAsia="仿宋_GB2312"/>
                      <w:sz w:val="20"/>
                    </w:rPr>
                    <w:t>7.平台管理</w:t>
                  </w:r>
                </w:p>
                <w:p>
                  <w:pPr>
                    <w:pStyle w:val="null3"/>
                    <w:ind w:firstLine="400"/>
                    <w:jc w:val="both"/>
                  </w:pPr>
                  <w:r>
                    <w:rPr>
                      <w:rFonts w:ascii="仿宋_GB2312" w:hAnsi="仿宋_GB2312" w:cs="仿宋_GB2312" w:eastAsia="仿宋_GB2312"/>
                      <w:sz w:val="20"/>
                    </w:rPr>
                    <w:t>系统须提供全面、可视化的后台管理平台，支持管理员对系统资源、用户权限、任务调度及系统日志进行统一管控，确保系统的安全稳定运行。具体要求如下：（</w:t>
                  </w:r>
                  <w:r>
                    <w:rPr>
                      <w:rFonts w:ascii="仿宋_GB2312" w:hAnsi="仿宋_GB2312" w:cs="仿宋_GB2312" w:eastAsia="仿宋_GB2312"/>
                      <w:sz w:val="20"/>
                    </w:rPr>
                    <w:t>1）支持分析门户：为PC和移动APP提供响应式门户布局；（2）外观配置：可配置系统主题、Logo、名称、登录画面、门户目录、显示语言等外观样式的自定义；（3）用户体系：支持内建账户和单点登录两种访问模式，并提供组织、角色、用户管理，可设置二级组织管理员，用于企业、SaaS多租户应用需要；（4）权限管理；（5）具有通知中心、定时任务、审计日志、系统日志等功能。</w:t>
                  </w:r>
                </w:p>
                <w:p>
                  <w:pPr>
                    <w:pStyle w:val="null3"/>
                    <w:ind w:firstLine="400"/>
                    <w:jc w:val="both"/>
                  </w:pPr>
                  <w:r>
                    <w:rPr>
                      <w:rFonts w:ascii="仿宋_GB2312" w:hAnsi="仿宋_GB2312" w:cs="仿宋_GB2312" w:eastAsia="仿宋_GB2312"/>
                      <w:sz w:val="20"/>
                    </w:rPr>
                    <w:t>8.部署和运行方式</w:t>
                  </w:r>
                </w:p>
                <w:p>
                  <w:pPr>
                    <w:pStyle w:val="null3"/>
                    <w:ind w:firstLine="400"/>
                    <w:jc w:val="both"/>
                  </w:pPr>
                  <w:r>
                    <w:rPr>
                      <w:rFonts w:ascii="仿宋_GB2312" w:hAnsi="仿宋_GB2312" w:cs="仿宋_GB2312" w:eastAsia="仿宋_GB2312"/>
                      <w:sz w:val="20"/>
                    </w:rPr>
                    <w:t>系统具备良好的环境适应性与高可用性架构，支持多种部署模式，确保在不同硬件及网络环境下均能稳定、高效运行。具体要求支持：跨平台部署、私有化部署、云端部署、</w:t>
                  </w:r>
                  <w:r>
                    <w:rPr>
                      <w:rFonts w:ascii="仿宋_GB2312" w:hAnsi="仿宋_GB2312" w:cs="仿宋_GB2312" w:eastAsia="仿宋_GB2312"/>
                      <w:sz w:val="20"/>
                    </w:rPr>
                    <w:t>K8S集群部署、国产化与信创等多种部署分式。</w:t>
                  </w:r>
                </w:p>
                <w:p>
                  <w:pPr>
                    <w:pStyle w:val="null3"/>
                    <w:ind w:firstLine="400"/>
                    <w:jc w:val="both"/>
                  </w:pPr>
                  <w:r>
                    <w:rPr>
                      <w:rFonts w:ascii="仿宋_GB2312" w:hAnsi="仿宋_GB2312" w:cs="仿宋_GB2312" w:eastAsia="仿宋_GB2312"/>
                      <w:sz w:val="20"/>
                    </w:rPr>
                    <w:t>9.多终端应用</w:t>
                  </w:r>
                </w:p>
                <w:p>
                  <w:pPr>
                    <w:pStyle w:val="null3"/>
                    <w:ind w:firstLine="400"/>
                    <w:jc w:val="both"/>
                  </w:pPr>
                  <w:r>
                    <w:rPr>
                      <w:rFonts w:ascii="仿宋_GB2312" w:hAnsi="仿宋_GB2312" w:cs="仿宋_GB2312" w:eastAsia="仿宋_GB2312"/>
                      <w:sz w:val="20"/>
                    </w:rPr>
                    <w:t>系统须具备跨平台、多终端的自适应能力，确保用户能够在</w:t>
                  </w:r>
                  <w:r>
                    <w:rPr>
                      <w:rFonts w:ascii="仿宋_GB2312" w:hAnsi="仿宋_GB2312" w:cs="仿宋_GB2312" w:eastAsia="仿宋_GB2312"/>
                      <w:sz w:val="20"/>
                    </w:rPr>
                    <w:t>PC、平板、手机等不同设备上获得一致且流畅的数据分析体验，满足移动办公和实时决策的需求。</w:t>
                  </w:r>
                </w:p>
                <w:p>
                  <w:pPr>
                    <w:pStyle w:val="null3"/>
                    <w:ind w:firstLine="400"/>
                    <w:jc w:val="both"/>
                  </w:pPr>
                  <w:r>
                    <w:rPr>
                      <w:rFonts w:ascii="仿宋_GB2312" w:hAnsi="仿宋_GB2312" w:cs="仿宋_GB2312" w:eastAsia="仿宋_GB2312"/>
                      <w:sz w:val="20"/>
                    </w:rPr>
                    <w:t>（三）陕西干部网络学院读书吧小程序年度服务</w:t>
                  </w:r>
                </w:p>
                <w:p>
                  <w:pPr>
                    <w:pStyle w:val="null3"/>
                    <w:ind w:firstLine="400"/>
                    <w:jc w:val="both"/>
                  </w:pPr>
                  <w:r>
                    <w:rPr>
                      <w:rFonts w:ascii="仿宋_GB2312" w:hAnsi="仿宋_GB2312" w:cs="仿宋_GB2312" w:eastAsia="仿宋_GB2312"/>
                      <w:sz w:val="20"/>
                    </w:rPr>
                    <w:t>1.与陕西干部网络院学校微信小程序无缝对接，用户统一管理，统一身份认证。</w:t>
                  </w:r>
                </w:p>
                <w:p>
                  <w:pPr>
                    <w:pStyle w:val="null3"/>
                    <w:ind w:firstLine="400"/>
                    <w:jc w:val="both"/>
                  </w:pPr>
                  <w:r>
                    <w:rPr>
                      <w:rFonts w:ascii="仿宋_GB2312" w:hAnsi="仿宋_GB2312" w:cs="仿宋_GB2312" w:eastAsia="仿宋_GB2312"/>
                      <w:sz w:val="20"/>
                    </w:rPr>
                    <w:t>2.提供活动发布运营管理、积分系统、统一检索、学习打卡、知识挑战、我的书房、主题专题管理、资源管理等功能，读书积分可支持网络学院学时互换。</w:t>
                  </w:r>
                </w:p>
                <w:p>
                  <w:pPr>
                    <w:pStyle w:val="null3"/>
                    <w:ind w:firstLine="400"/>
                    <w:jc w:val="both"/>
                  </w:pPr>
                  <w:r>
                    <w:rPr>
                      <w:rFonts w:ascii="仿宋_GB2312" w:hAnsi="仿宋_GB2312" w:cs="仿宋_GB2312" w:eastAsia="仿宋_GB2312"/>
                      <w:sz w:val="20"/>
                    </w:rPr>
                    <w:t>3.读书吧资源内容包含电子图书至少3万册，要求每日更新，月更新量不少于150本；期刊3000种，每周更新（按照期刊更新周期实时更新）；微视频10000集，要求每日更新；少儿绘本1200套，可按季度更新；听书资源至少10000集，可按年度更新；专题资源至少100个，可按年度更新。</w:t>
                  </w:r>
                </w:p>
                <w:p>
                  <w:pPr>
                    <w:pStyle w:val="null3"/>
                    <w:ind w:firstLine="402"/>
                    <w:jc w:val="both"/>
                  </w:pPr>
                  <w:r>
                    <w:rPr>
                      <w:rFonts w:ascii="仿宋_GB2312" w:hAnsi="仿宋_GB2312" w:cs="仿宋_GB2312" w:eastAsia="仿宋_GB2312"/>
                      <w:sz w:val="20"/>
                      <w:b/>
                    </w:rPr>
                    <w:t>三、服务要求</w:t>
                  </w:r>
                </w:p>
                <w:p>
                  <w:pPr>
                    <w:pStyle w:val="null3"/>
                    <w:ind w:firstLine="400"/>
                    <w:jc w:val="both"/>
                  </w:pPr>
                  <w:r>
                    <w:rPr>
                      <w:rFonts w:ascii="仿宋_GB2312" w:hAnsi="仿宋_GB2312" w:cs="仿宋_GB2312" w:eastAsia="仿宋_GB2312"/>
                      <w:sz w:val="20"/>
                    </w:rPr>
                    <w:t>1.为确保本项目顺利进行，自项目实施起一年内需派遣一名专业技术人员于每周一至周五9：00-18：00驻场，及时处理故障问题，保证平台顺利运行。</w:t>
                  </w:r>
                </w:p>
                <w:p>
                  <w:pPr>
                    <w:pStyle w:val="null3"/>
                    <w:ind w:firstLine="400"/>
                    <w:jc w:val="both"/>
                  </w:pPr>
                  <w:r>
                    <w:rPr>
                      <w:rFonts w:ascii="仿宋_GB2312" w:hAnsi="仿宋_GB2312" w:cs="仿宋_GB2312" w:eastAsia="仿宋_GB2312"/>
                      <w:sz w:val="20"/>
                    </w:rPr>
                    <w:t>2.服务期限内完成全部服务内容，并提交的服务成果经采购人验收。</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成交供应商应在合同签订后一年内完成全部服务内容，向采购人提交经采购人验收合格的服务成果。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根据磋商文件、磋商响应文件、合同及国家相关标准。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项目验收通过且收到乙方开具的发票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 2.未按磋商文件要求提供服务，质量不能满足采购单位技术要求，采购单位有权终止合同，甚至对成交供应商违约行为进行追究。 3.成交供应商由于自身过错，延误按本合同规定的服务成果交付时间，每延误一天，应减收本合同总额的2‰作为延误违约金。 二、解决争议的方法：本合同在履行过程中发生的争议，由甲、乙双方当事人协商解决，协商不成的按下列第2种方式解决：1、提交当地仲裁委员会仲裁；2、依法向甲方所在地人民法院起诉。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1.成交供应商在领取成交通知书时，须线下递交纸质版投标文件正本壹份、副本叁份、电子版壹份(投标文件内容与电子化交易平台上的内容一致)，纸质版投标文件在书脊处标注项目名称和项目编号。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财务状况报告：提供2024年度或2025年度完整版的财务审计报告（成立时间至提交投标文件截止时间不足一年的可提供成立后任意时段的资产负债表），或投标时间前六个月内基本账户银行出具的资信证明；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税收缴纳证明：提供投标截止之日前一年内已缴纳的至少三个月的纳税证明或完税证明（任意税种），依法免税的单位应提供相关证明材料；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社会保障资金缴纳证明：提供投标截止之日前一年内已缴存的至少三个月的社会保障资金缴存单据或社保机构开具的社会保险参保缴费情况证明，依法不需要缴纳社会保障资金的单位应提供相关证明材料；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专业技术能力：提供具有履行本合同所必需的设备和专业技术能力的承诺书；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无重大违法说明：参加政府采购活动前3年内，在经营活动中没有重大违法记录的书面声明；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控股关系承诺书</w:t>
            </w:r>
          </w:p>
        </w:tc>
        <w:tc>
          <w:tcPr>
            <w:tcW w:type="dxa" w:w="3322"/>
          </w:tcPr>
          <w:p>
            <w:pPr>
              <w:pStyle w:val="null3"/>
            </w:pPr>
            <w:r>
              <w:rPr>
                <w:rFonts w:ascii="仿宋_GB2312" w:hAnsi="仿宋_GB2312" w:cs="仿宋_GB2312" w:eastAsia="仿宋_GB2312"/>
              </w:rPr>
              <w:t>控股关系承诺书：单位负责人为同一人或存在直接控股、管理关系的不同单位，不得参加同一合同项下的政府采购活动；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 （2）不满足本磋商文件中“服务期限、服务地点、采购资金的支付方式及约定”的实质性条款要求的； （3）文件有效期不足的或无有效期的； （4）报价超过磋商文件中规定的预算金额或最高限价的； （5）法律、法规和磋商文件规定的其他无效情形。</w:t>
            </w:r>
          </w:p>
        </w:tc>
        <w:tc>
          <w:tcPr>
            <w:tcW w:type="dxa" w:w="1661"/>
          </w:tcPr>
          <w:p>
            <w:pPr>
              <w:pStyle w:val="null3"/>
            </w:pPr>
            <w:r>
              <w:rPr>
                <w:rFonts w:ascii="仿宋_GB2312" w:hAnsi="仿宋_GB2312" w:cs="仿宋_GB2312" w:eastAsia="仿宋_GB2312"/>
              </w:rPr>
              <w:t>业绩一览表.docx 中小企业声明函 报价表 商务应答表.docx 响应文件封面 分项报价表.docx 供应商应提交的相关资格证明材料.docx 残疾人福利性单位声明函 供应商认为有必要说明的其他问题.docx 标的清单 服务要求偏离表.docx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供应商提供针对本项目的理解方案： 1、充分理解本项目服务需求，对项目现状和整体认知的理解，思路清晰明确得3分； 2、理解方案有针对性，但还有可以优化空间得2分； 3、方案内容有缺陷、表述前后不一致、套用其他项目方案或与项目需求不匹配等得1分；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平台数据及功能日常维护方案</w:t>
            </w:r>
          </w:p>
        </w:tc>
        <w:tc>
          <w:tcPr>
            <w:tcW w:type="dxa" w:w="2492"/>
          </w:tcPr>
          <w:p>
            <w:pPr>
              <w:pStyle w:val="null3"/>
            </w:pPr>
            <w:r>
              <w:rPr>
                <w:rFonts w:ascii="仿宋_GB2312" w:hAnsi="仿宋_GB2312" w:cs="仿宋_GB2312" w:eastAsia="仿宋_GB2312"/>
              </w:rPr>
              <w:t>一、评审内容 针对本项目平台数据及功能日常维护的服务内容及要求提供详细、具体、可行的方案。 二、评审标准 1、完整性：方案必须全面，对评审内容中的各项指标要求有详细描述； 2、适用性：切合本项目实际情况及各项要求，提出适用性强且合理的方案； 3、针对性：方案能够紧扣项目实际情况，内容科学合理。 上述1项评审内容每满足一项评审标准得3分，满分9分。 每项评审内容或每项评审标准存在“瑕疵”的扣1分，扣完为止。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智能数据管理系统实施方案</w:t>
            </w:r>
          </w:p>
        </w:tc>
        <w:tc>
          <w:tcPr>
            <w:tcW w:type="dxa" w:w="2492"/>
          </w:tcPr>
          <w:p>
            <w:pPr>
              <w:pStyle w:val="null3"/>
            </w:pPr>
            <w:r>
              <w:rPr>
                <w:rFonts w:ascii="仿宋_GB2312" w:hAnsi="仿宋_GB2312" w:cs="仿宋_GB2312" w:eastAsia="仿宋_GB2312"/>
              </w:rPr>
              <w:t>一、评审内容 针对本项目提供智能数据管理系统具体、详细、合理的实施方案，内容包括：①多源数据对接②场景化数据建模功能③BI可视化与自助式分析功能④在线统计报表功能⑤AI对话式分析⑥嵌入式分析⑦平台管理⑧部署和运行方式⑨多终端应用。 二、评审标准 1、完整性：方案必须全面，对评审内容中的各项要求有详细描述； 2、可实施性：切合本项目实际情况，提出步骤清晰、合理的方案； 3、针对性：方案能够紧扣项目实际情况，内容科学合理。 上述9项评审内容每满足一项评审标准得1分，满分27分。 每项评审内容或每项评审标准存在“瑕疵”的扣0.5分，扣完为止。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未提供不得分。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“读书吧小程序”的实施方案</w:t>
            </w:r>
          </w:p>
        </w:tc>
        <w:tc>
          <w:tcPr>
            <w:tcW w:type="dxa" w:w="2492"/>
          </w:tcPr>
          <w:p>
            <w:pPr>
              <w:pStyle w:val="null3"/>
            </w:pPr>
            <w:r>
              <w:rPr>
                <w:rFonts w:ascii="仿宋_GB2312" w:hAnsi="仿宋_GB2312" w:cs="仿宋_GB2312" w:eastAsia="仿宋_GB2312"/>
              </w:rPr>
              <w:t>一、评审内容 供应商提供针对本项目“读书吧小程序”的具体、详细、合理的实施方案：二、评审标准 1、完整性：方案必须全面，对评审内容中的各项指标要求有详细描述； 2、适用性：切合本项目实际情况及各项要求，提出适用性强且合理的方案； 3、针对性：方案能够紧扣项目实际情况，内容科学合理。 上述1项评审内容每满足一项评审标准得3分，满分9分。 每项评审内容或每项评审标准存在“瑕疵”的扣1分，扣完为止。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供应商提供针对本项目的进度计划安排和保障措施： 1、工作进度计划全面详细、合理，符合实际对完成本项目有详细、合理 的进度安排和保障措施的得4分； 2、工作进度计划较为详细、合理，较为符合实际对完成本项目有的进度安排和保障措施的得2分； 3、工作进度计划不详细，简单笼统或存在较大缺失，不合理的得1分；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供应商提供针对本项目的培训方案及培训计划，并列出具体的培训内容及方式，确保采购人能够熟练操作和正常使用： 1、培训方案完整、可行性强，培训计划详细，对本项目内容针对性强的得4分； 2、培训方案基本完整细致，具有一定的可操作性和针对性的得2分； 3、培训方案完善程度一般，内容宽泛可操作性一般的得1分；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突发事件处理</w:t>
            </w:r>
          </w:p>
        </w:tc>
        <w:tc>
          <w:tcPr>
            <w:tcW w:type="dxa" w:w="2492"/>
          </w:tcPr>
          <w:p>
            <w:pPr>
              <w:pStyle w:val="null3"/>
            </w:pPr>
            <w:r>
              <w:rPr>
                <w:rFonts w:ascii="仿宋_GB2312" w:hAnsi="仿宋_GB2312" w:cs="仿宋_GB2312" w:eastAsia="仿宋_GB2312"/>
              </w:rPr>
              <w:t>根据本项目的服务要求，及时处理故障问题，保证平台顺利运行，并提供突发事件发生时的响应时效，及解决方案： 1、具有可行完善的突发事件处理预案措施，措施细致可操作性强的得4分； 2、突发事件处理预案措施基本完整细致，具有一定的可操作性和针对性的得2分； 3、突发事件处理预案措施完善程度一般，措施宽泛可操作性一般的得1分；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1、项目负责人：提供拟派的项目负责人相关证明材料： 赋分依据：提供项目负责人履历表、身份证复印件、学历证、在投标单位近三个月社保证明材料，证明材料完整得3分，少一项不得分； 2、专业技术人员驻场：本项目实施期间，为保证平台顺利运行，每周一至周五9：00-18：00需一名专业技术人员驻场，及时处理故障问题，驻场人员合同履行期间不得更换（提供承诺书，格式自拟）: 赋分依据：提供驻场人员履历表、身份证复印件、学历证、在投标单位近三个月社保证明材料，并提供承诺书格式自拟，证明材料完整得2分，少一项不得分； 3、服务团队人员安排： ①服务团队人员组织架构完整，岗位设置合理、明确，投入人员专业性、经验性强，对本项目有针对性得5分； ②人员组织架构基本完整，人员岗位设置基本合理，能够基本满足本项目采购要求得3分； ④员组织架构完善程度一般，人员岗位设置合理性一般，人员专业性、经验性一般，得1分；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供应商提供2023年5月1日至今类似项目业绩，每提供1个业绩得2分，最高10分，未提供不得分。 注：业绩以合同复印件为依据。合同须提供合同关键页（签订合同双方的单位名称、合同项目名称、签订合同双方的落款盖章、签订日期等）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详见附件：服务要求偏离表.docx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