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版本号：XHZB-26-08720260823001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南郑县忍水乡打磨沟建筑用白云岩矿等13家矿山资产评估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XHZB-26-087</w:t>
      </w:r>
      <w:r>
        <w:br/>
      </w:r>
      <w:r>
        <w:br/>
      </w:r>
      <w:r>
        <w:br/>
      </w:r>
    </w:p>
    <w:p>
      <w:pPr>
        <w:pStyle w:val="null3"/>
        <w:jc w:val="center"/>
        <w:outlineLvl w:val="2"/>
      </w:pPr>
      <w:r>
        <w:rPr>
          <w:rFonts w:ascii="仿宋_GB2312" w:hAnsi="仿宋_GB2312" w:cs="仿宋_GB2312" w:eastAsia="仿宋_GB2312"/>
          <w:sz w:val="28"/>
          <w:b/>
        </w:rPr>
        <w:t>汉中市自然资源局南郑分局</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汉中市自然资源局南郑分局</w:t>
      </w:r>
      <w:r>
        <w:rPr>
          <w:rFonts w:ascii="仿宋_GB2312" w:hAnsi="仿宋_GB2312" w:cs="仿宋_GB2312" w:eastAsia="仿宋_GB2312"/>
        </w:rPr>
        <w:t>委托，拟对</w:t>
      </w:r>
      <w:r>
        <w:rPr>
          <w:rFonts w:ascii="仿宋_GB2312" w:hAnsi="仿宋_GB2312" w:cs="仿宋_GB2312" w:eastAsia="仿宋_GB2312"/>
        </w:rPr>
        <w:t>南郑县忍水乡打磨沟建筑用白云岩矿等13家矿山资产评估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XHZB-26-087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南郑县忍水乡打磨沟建筑用白云岩矿等13家矿山资产评估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南郑县忍水乡打磨沟建筑用白云岩矿、南郑县南华建筑用花岗岩矿、南郑县青树镇安子塝砖瓦用砂矿、南郑县阳春镇张口子建筑石料用灰岩矿、南郑县白马寺建筑石料用辉长岩矿、南郑县陡子沟建筑石料用花岗岩矿、南郑县红庙镇群福村建筑用灰岩矿、南郑县红庙镇高桥建筑石料用辉长岩矿、南郑县庙坝花岗石矿、南郑县下梁山石灰岩矿、南郑县忍水乡马庄石场建筑石料用灰岩矿、南郑县牟家坝镇青山沟建筑用砂矿、南郑县铁炉沟砖瓦用白云岩矿，13家矿山进行资产评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采购包1（南郑县忍水乡打磨沟建筑用白云岩矿等13家矿山资产评估）：属于专门面向中小企业采购。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1、供应商身份证明：供应商具有独立承担民事责任能力的法人、其他组织，并出具合法有效的营业执照或事业单位法人证书等国家规定的相关证明。（材料应清晰可辨并进行电子签章）</w:t>
      </w:r>
    </w:p>
    <w:p>
      <w:pPr>
        <w:pStyle w:val="null3"/>
      </w:pPr>
      <w:r>
        <w:rPr>
          <w:rFonts w:ascii="仿宋_GB2312" w:hAnsi="仿宋_GB2312" w:cs="仿宋_GB2312" w:eastAsia="仿宋_GB2312"/>
        </w:rPr>
        <w:t>2、法定代表人授权书：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pPr>
        <w:pStyle w:val="null3"/>
      </w:pPr>
      <w:r>
        <w:rPr>
          <w:rFonts w:ascii="仿宋_GB2312" w:hAnsi="仿宋_GB2312" w:cs="仿宋_GB2312" w:eastAsia="仿宋_GB2312"/>
        </w:rPr>
        <w:t>3、供应商资质：供应商须具备省级财政主管部门备案的资产评估执业资质、行业主管部门颁发的矿业权评估资质，须提供资质证书复印件。（材料应清晰可辨并进行电子签章）</w:t>
      </w:r>
    </w:p>
    <w:p>
      <w:pPr>
        <w:pStyle w:val="null3"/>
      </w:pPr>
      <w:r>
        <w:rPr>
          <w:rFonts w:ascii="仿宋_GB2312" w:hAnsi="仿宋_GB2312" w:cs="仿宋_GB2312" w:eastAsia="仿宋_GB2312"/>
        </w:rPr>
        <w:t>4、项目负责人资格：拟派项目负责人须具备有效的矿业权评估师职业资格证书，须提供资格证书复印件。（材料应清晰可辨并进行电子签章）</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p>
      <w:pPr>
        <w:pStyle w:val="null3"/>
      </w:pPr>
      <w:r>
        <w:rPr>
          <w:rFonts w:ascii="仿宋_GB2312" w:hAnsi="仿宋_GB2312" w:cs="仿宋_GB2312" w:eastAsia="仿宋_GB2312"/>
        </w:rPr>
        <w:t>6、中小企业声明函：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p>
      <w:pPr>
        <w:pStyle w:val="null3"/>
      </w:pPr>
      <w:r>
        <w:rPr>
          <w:rFonts w:ascii="仿宋_GB2312" w:hAnsi="仿宋_GB2312" w:cs="仿宋_GB2312" w:eastAsia="仿宋_GB2312"/>
        </w:rPr>
        <w:t>7、非联合体磋商声明函：本项目不接受联合体磋商（提供非联合体声明）。（材料应清晰可辨并进行电子签章）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汉中市自然资源局南郑分局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陕西省汉中市南郑区汉山街道办南环路3号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0916-5514095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陕西省西安市曲江新区雁翔路曲江文创中心第7幢1单元24层12404号房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开户名称：信宏工程咨询有限公司</w:t>
            </w:r>
          </w:p>
          <w:p>
            <w:pPr>
              <w:pStyle w:val="null3"/>
            </w:pPr>
            <w:r>
              <w:rPr>
                <w:rFonts w:ascii="仿宋_GB2312" w:hAnsi="仿宋_GB2312" w:cs="仿宋_GB2312" w:eastAsia="仿宋_GB2312"/>
              </w:rPr>
              <w:t>开户银行：中国工商银行西安雁塔南路支行（长安区支行）</w:t>
            </w:r>
          </w:p>
          <w:p>
            <w:pPr>
              <w:pStyle w:val="null3"/>
            </w:pPr>
            <w:r>
              <w:rPr>
                <w:rFonts w:ascii="仿宋_GB2312" w:hAnsi="仿宋_GB2312" w:cs="仿宋_GB2312" w:eastAsia="仿宋_GB2312"/>
              </w:rPr>
              <w:t>银行账号：3700035119100019340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以中标（成交）金额为基数，参照国家计委关于印发《招标代理服务收费管理暂行办法》的通知（计价格〔2002〕1980号）、《国家发展和改革委员会办公厅关于招标代理服务收费有关问题的通知》（发改办价格〔2003〕857号）计算收取采购代理服务费（属性：服务类）</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汉中市自然资源局南郑分局</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汉中市自然资源局南郑分局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汉中市自然资源局南郑分局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形成的全部评估成果、报告及工作底稿知识产权、著作权归采购人所有。供应商应保证所使用素材、资料版权合法有效，如发生知识产权侵权纠纷，全部责任由供应商承担。未经采购人书面许可，供应商不得将本项目成果对外泄露、用于其他商业用途。项目验收完成后，须向采购人完整移交全部项目资料。</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全面完成矿山资产评全部工作，全部成果完全符合各级主管部门审核、备案及验收规范要求。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联系人：龚女士</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地址：陕西省西安市曲江新区雁翔路曲江文创中心第7幢1单元24层12404号房</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南郑县忍水乡打磨沟建筑用白云岩矿、南郑县南华建筑用花岗岩矿、南郑县青树镇安子塝砖瓦用砂矿、南郑县阳春镇张口子建筑石料用灰岩矿、南郑县白马寺建筑石料用辉长岩矿、南郑县陡子沟建筑石料用花岗岩矿、南郑县红庙镇群福村建筑用灰岩矿、南郑县红庙镇高桥建筑石料用辉长岩矿、南郑县庙坝花岗石矿、南郑县下梁山石灰岩矿、南郑县忍水乡马庄石场建筑石料用灰岩矿、南郑县牟家坝镇青山沟建筑用砂矿、南郑县铁炉沟砖瓦用白云岩矿，13家矿山进行资产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1,690,000.00</w:t>
      </w:r>
    </w:p>
    <w:p>
      <w:pPr>
        <w:pStyle w:val="null3"/>
      </w:pPr>
      <w:r>
        <w:rPr>
          <w:rFonts w:ascii="仿宋_GB2312" w:hAnsi="仿宋_GB2312" w:cs="仿宋_GB2312" w:eastAsia="仿宋_GB2312"/>
        </w:rPr>
        <w:t>采购包最高限价（元）: 1,690,000.00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南郑县忍水乡打磨沟建筑用白云岩矿等13家矿山资产评估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标的名称：南郑县忍水乡打磨沟建筑用白云岩矿等13家矿山资产评估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一、服务范围</w:t>
            </w:r>
          </w:p>
          <w:p>
            <w:pPr>
              <w:pStyle w:val="null3"/>
              <w:spacing w:before="105" w:after="105"/>
              <w:jc w:val="both"/>
            </w:pPr>
            <w:r>
              <w:rPr>
                <w:rFonts w:ascii="仿宋_GB2312" w:hAnsi="仿宋_GB2312" w:cs="仿宋_GB2312" w:eastAsia="仿宋_GB2312"/>
                <w:sz w:val="24"/>
              </w:rPr>
              <w:t>针对南郑县</w:t>
            </w:r>
            <w:r>
              <w:rPr>
                <w:rFonts w:ascii="仿宋_GB2312" w:hAnsi="仿宋_GB2312" w:cs="仿宋_GB2312" w:eastAsia="仿宋_GB2312"/>
                <w:sz w:val="24"/>
              </w:rPr>
              <w:t>13</w:t>
            </w:r>
            <w:r>
              <w:rPr>
                <w:rFonts w:ascii="仿宋_GB2312" w:hAnsi="仿宋_GB2312" w:cs="仿宋_GB2312" w:eastAsia="仿宋_GB2312"/>
                <w:sz w:val="24"/>
              </w:rPr>
              <w:t>家目标矿山开展全覆盖专项资产评估工作，全面核查各矿山采矿权、资源储量、固定资产及配套附属资产现状，核查梳理资产权属、合规经营及各类潜在风险，客观公允核定矿山整体资产价值，编制全套合法合规的资产评估成果资料，保障成果可支撑矿山处置、资产核算、权属管理、审计备案及行政审批等工作，确保成果顺利通过各级主管部门审核备案与验收。</w:t>
            </w:r>
          </w:p>
          <w:p>
            <w:pPr>
              <w:pStyle w:val="null3"/>
              <w:spacing w:before="105" w:after="105"/>
              <w:jc w:val="both"/>
            </w:pPr>
            <w:r>
              <w:rPr>
                <w:rFonts w:ascii="仿宋_GB2312" w:hAnsi="仿宋_GB2312" w:cs="仿宋_GB2312" w:eastAsia="仿宋_GB2312"/>
                <w:sz w:val="24"/>
              </w:rPr>
              <w:t>二、服务要求</w:t>
            </w:r>
          </w:p>
          <w:p>
            <w:pPr>
              <w:pStyle w:val="null3"/>
              <w:spacing w:before="105" w:after="105"/>
              <w:jc w:val="both"/>
            </w:pPr>
            <w:r>
              <w:rPr>
                <w:rFonts w:ascii="仿宋_GB2312" w:hAnsi="仿宋_GB2312" w:cs="仿宋_GB2312" w:eastAsia="仿宋_GB2312"/>
                <w:sz w:val="24"/>
              </w:rPr>
              <w:t>全面查清</w:t>
            </w:r>
            <w:r>
              <w:rPr>
                <w:rFonts w:ascii="仿宋_GB2312" w:hAnsi="仿宋_GB2312" w:cs="仿宋_GB2312" w:eastAsia="仿宋_GB2312"/>
                <w:sz w:val="24"/>
              </w:rPr>
              <w:t>13</w:t>
            </w:r>
            <w:r>
              <w:rPr>
                <w:rFonts w:ascii="仿宋_GB2312" w:hAnsi="仿宋_GB2312" w:cs="仿宋_GB2312" w:eastAsia="仿宋_GB2312"/>
                <w:sz w:val="24"/>
              </w:rPr>
              <w:t>家矿山各类资产底数、权属情况、资源储量及经营合规状况，精准排查各类潜在风险；配备专业、稳定的专项服务团队，全程保障服务工作有序推进；严格按国家评估准则及采购人要求完成全部评估工作，按时提交完整合规评估报告，全程配合核查、备案、答疑整改等工作，交付成果须满足各级审核、备案及验收要求。</w:t>
            </w:r>
          </w:p>
          <w:p>
            <w:pPr>
              <w:pStyle w:val="null3"/>
              <w:spacing w:before="105" w:after="105"/>
              <w:jc w:val="both"/>
            </w:pPr>
            <w:r>
              <w:rPr>
                <w:rFonts w:ascii="仿宋_GB2312" w:hAnsi="仿宋_GB2312" w:cs="仿宋_GB2312" w:eastAsia="仿宋_GB2312"/>
                <w:sz w:val="24"/>
              </w:rPr>
              <w:t>三、服务标准</w:t>
            </w:r>
          </w:p>
          <w:p>
            <w:pPr>
              <w:pStyle w:val="null3"/>
              <w:spacing w:before="105" w:after="105"/>
              <w:jc w:val="both"/>
            </w:pPr>
            <w:r>
              <w:rPr>
                <w:rFonts w:ascii="仿宋_GB2312" w:hAnsi="仿宋_GB2312" w:cs="仿宋_GB2312" w:eastAsia="仿宋_GB2312"/>
                <w:sz w:val="24"/>
              </w:rPr>
              <w:t>严格遵循《中华人民共和国资产评估法》《矿产资源资产评估准则》等国家及行业规范标准，全流程独立、客观、公允开展评估工作，落实项目全流程资料与数据安全管控，所有评估数据、成果文件完整精准、合规有效，全部成果完全符合各级主管部门审核、备案及验收规范要求。</w:t>
            </w:r>
          </w:p>
          <w:p>
            <w:pPr>
              <w:pStyle w:val="null3"/>
              <w:spacing w:before="105" w:after="105"/>
              <w:jc w:val="both"/>
            </w:pPr>
            <w:r>
              <w:rPr>
                <w:rFonts w:ascii="仿宋_GB2312" w:hAnsi="仿宋_GB2312" w:cs="仿宋_GB2312" w:eastAsia="仿宋_GB2312"/>
                <w:sz w:val="24"/>
              </w:rPr>
              <w:t>四、采购内容</w:t>
            </w:r>
          </w:p>
          <w:p>
            <w:pPr>
              <w:pStyle w:val="null3"/>
              <w:spacing w:before="105" w:after="105"/>
              <w:jc w:val="both"/>
            </w:pPr>
            <w:r>
              <w:rPr>
                <w:rFonts w:ascii="仿宋_GB2312" w:hAnsi="仿宋_GB2312" w:cs="仿宋_GB2312" w:eastAsia="仿宋_GB2312"/>
                <w:sz w:val="24"/>
              </w:rPr>
              <w:t>对南郑县忍水乡打磨沟建筑用白云岩矿、南郑县南华建筑用花岗岩矿、南郑县青树镇安子塝砖瓦用砂矿、南郑县阳春镇张口子建筑石料用灰岩矿、南郑县白马寺建筑石料用辉长岩矿、南郑县陡子沟建筑石料用花岗岩矿、南郑县红庙镇群福村建筑用灰岩矿、南郑县红庙镇高桥建筑石料用辉长岩矿、南郑县庙坝花岗石矿、南郑县下梁山石灰岩矿、南郑县忍水乡马庄石场建筑石料用灰岩矿、南郑县牟家坝镇青山沟建筑用砂矿、南郑县铁炉沟砖瓦用白云岩矿，</w:t>
            </w:r>
            <w:r>
              <w:rPr>
                <w:rFonts w:ascii="仿宋_GB2312" w:hAnsi="仿宋_GB2312" w:cs="仿宋_GB2312" w:eastAsia="仿宋_GB2312"/>
                <w:sz w:val="24"/>
              </w:rPr>
              <w:t>13</w:t>
            </w:r>
            <w:r>
              <w:rPr>
                <w:rFonts w:ascii="仿宋_GB2312" w:hAnsi="仿宋_GB2312" w:cs="仿宋_GB2312" w:eastAsia="仿宋_GB2312"/>
                <w:sz w:val="24"/>
              </w:rPr>
              <w:t>家矿山进行资产评估。项目承担单位通过现场踏勘、收集相关资料等，编制符合符合行业规范标准要求的成果文件，成果文件为：纸质版一式三份，电子光盘一份。</w:t>
            </w:r>
          </w:p>
          <w:p>
            <w:pPr>
              <w:pStyle w:val="null3"/>
              <w:spacing w:before="105" w:after="120"/>
              <w:jc w:val="both"/>
            </w:pPr>
            <w:r>
              <w:rPr>
                <w:rFonts w:ascii="仿宋_GB2312" w:hAnsi="仿宋_GB2312" w:cs="仿宋_GB2312" w:eastAsia="仿宋_GB2312"/>
                <w:sz w:val="24"/>
              </w:rPr>
              <w:t>五、保险要求</w:t>
            </w:r>
          </w:p>
          <w:p>
            <w:pPr>
              <w:pStyle w:val="null3"/>
              <w:spacing w:before="105" w:after="120"/>
              <w:jc w:val="both"/>
            </w:pPr>
            <w:r>
              <w:rPr>
                <w:rFonts w:ascii="仿宋_GB2312" w:hAnsi="仿宋_GB2312" w:cs="仿宋_GB2312" w:eastAsia="仿宋_GB2312"/>
                <w:sz w:val="24"/>
              </w:rPr>
              <w:t>（一）第三者责任保险</w:t>
            </w:r>
            <w:r>
              <w:rPr>
                <w:rFonts w:ascii="仿宋_GB2312" w:hAnsi="仿宋_GB2312" w:cs="仿宋_GB2312" w:eastAsia="仿宋_GB2312"/>
                <w:sz w:val="24"/>
              </w:rPr>
              <w:t>成交供应商应对其执业过程中给工作人员及第三方造成的损害承担赔偿责任，并应投保第三者责任险。因成交供应商原因，造成其工作人员或第三方人身伤害、财产损失的，全部赔偿及法律责任由成交供应商承担，采购人不承担任何责任。</w:t>
            </w:r>
          </w:p>
          <w:p>
            <w:pPr>
              <w:pStyle w:val="null3"/>
              <w:spacing w:before="105" w:after="120"/>
              <w:jc w:val="both"/>
            </w:pPr>
            <w:r>
              <w:rPr>
                <w:rFonts w:ascii="仿宋_GB2312" w:hAnsi="仿宋_GB2312" w:cs="仿宋_GB2312" w:eastAsia="仿宋_GB2312"/>
                <w:sz w:val="24"/>
              </w:rPr>
              <w:t>（二）员工人身意外</w:t>
            </w:r>
            <w:r>
              <w:rPr>
                <w:rFonts w:ascii="仿宋_GB2312" w:hAnsi="仿宋_GB2312" w:cs="仿宋_GB2312" w:eastAsia="仿宋_GB2312"/>
                <w:sz w:val="24"/>
              </w:rPr>
              <w:t>服务期内，成交供应商工作人员发生人身伤害事故的，相关责任由成交供应商自行承担；成交供应商应为其工作人员投保人身意外伤害险，保障采购人免于由此带来的索赔纠纷。</w:t>
            </w:r>
          </w:p>
          <w:p>
            <w:pPr>
              <w:pStyle w:val="null3"/>
              <w:spacing w:before="105" w:after="120"/>
              <w:jc w:val="both"/>
            </w:pPr>
            <w:r>
              <w:rPr>
                <w:rFonts w:ascii="仿宋_GB2312" w:hAnsi="仿宋_GB2312" w:cs="仿宋_GB2312" w:eastAsia="仿宋_GB2312"/>
                <w:sz w:val="24"/>
              </w:rPr>
              <w:t>（三）其他保险及费用</w:t>
            </w:r>
            <w:r>
              <w:rPr>
                <w:rFonts w:ascii="仿宋_GB2312" w:hAnsi="仿宋_GB2312" w:cs="仿宋_GB2312" w:eastAsia="仿宋_GB2312"/>
                <w:sz w:val="24"/>
              </w:rPr>
              <w:t>成交供应商须按照法律法规及主管部门规定，为全部服务人员足额缴纳社会保险及相关费用，由此产生的一切责任由成交供应商承担。</w:t>
            </w:r>
          </w:p>
          <w:p>
            <w:pPr>
              <w:pStyle w:val="null3"/>
              <w:spacing w:before="105" w:after="120"/>
              <w:jc w:val="both"/>
            </w:pPr>
            <w:r>
              <w:rPr>
                <w:rFonts w:ascii="仿宋_GB2312" w:hAnsi="仿宋_GB2312" w:cs="仿宋_GB2312" w:eastAsia="仿宋_GB2312"/>
                <w:sz w:val="24"/>
              </w:rPr>
              <w:t>六、其他要求</w:t>
            </w:r>
          </w:p>
          <w:p>
            <w:pPr>
              <w:pStyle w:val="null3"/>
              <w:spacing w:before="105" w:after="120"/>
              <w:jc w:val="both"/>
            </w:pPr>
            <w:r>
              <w:rPr>
                <w:rFonts w:ascii="仿宋_GB2312" w:hAnsi="仿宋_GB2312" w:cs="仿宋_GB2312" w:eastAsia="仿宋_GB2312"/>
                <w:sz w:val="24"/>
              </w:rPr>
              <w:t>（一）</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提供的成果质量不合格，成交</w:t>
            </w:r>
            <w:r>
              <w:rPr>
                <w:rFonts w:ascii="仿宋_GB2312" w:hAnsi="仿宋_GB2312" w:cs="仿宋_GB2312" w:eastAsia="仿宋_GB2312"/>
                <w:sz w:val="24"/>
              </w:rPr>
              <w:t>供应商</w:t>
            </w:r>
            <w:r>
              <w:rPr>
                <w:rFonts w:ascii="仿宋_GB2312" w:hAnsi="仿宋_GB2312" w:cs="仿宋_GB2312" w:eastAsia="仿宋_GB2312"/>
                <w:sz w:val="24"/>
              </w:rPr>
              <w:t>应无偿采取补救措施，以达到成果质量要求。当成果质量不符合合同约定的要求（而又非采购单位提供的资料原因所致）造成后果时，成交</w:t>
            </w:r>
            <w:r>
              <w:rPr>
                <w:rFonts w:ascii="仿宋_GB2312" w:hAnsi="仿宋_GB2312" w:cs="仿宋_GB2312" w:eastAsia="仿宋_GB2312"/>
                <w:sz w:val="24"/>
              </w:rPr>
              <w:t>供应商</w:t>
            </w:r>
            <w:r>
              <w:rPr>
                <w:rFonts w:ascii="仿宋_GB2312" w:hAnsi="仿宋_GB2312" w:cs="仿宋_GB2312" w:eastAsia="仿宋_GB2312"/>
                <w:sz w:val="24"/>
              </w:rPr>
              <w:t>应对此造成的一切损失负赔偿责任，并承担相应的法律责任（由于采购单位提供的资料原因产生的责任由采购单位自己负责）。</w:t>
            </w:r>
          </w:p>
          <w:p>
            <w:pPr>
              <w:pStyle w:val="null3"/>
              <w:spacing w:before="105" w:after="120"/>
              <w:jc w:val="both"/>
            </w:pPr>
            <w:r>
              <w:rPr>
                <w:rFonts w:ascii="仿宋_GB2312" w:hAnsi="仿宋_GB2312" w:cs="仿宋_GB2312" w:eastAsia="仿宋_GB2312"/>
                <w:sz w:val="24"/>
              </w:rPr>
              <w:t>（二）</w:t>
            </w:r>
            <w:r>
              <w:rPr>
                <w:rFonts w:ascii="仿宋_GB2312" w:hAnsi="仿宋_GB2312" w:cs="仿宋_GB2312" w:eastAsia="仿宋_GB2312"/>
                <w:sz w:val="24"/>
              </w:rPr>
              <w:t>对于采购单位提供的图纸和技术资料以及属于采购单位的成果，成交</w:t>
            </w:r>
            <w:r>
              <w:rPr>
                <w:rFonts w:ascii="仿宋_GB2312" w:hAnsi="仿宋_GB2312" w:cs="仿宋_GB2312" w:eastAsia="仿宋_GB2312"/>
                <w:sz w:val="24"/>
              </w:rPr>
              <w:t>供应商</w:t>
            </w:r>
            <w:r>
              <w:rPr>
                <w:rFonts w:ascii="仿宋_GB2312" w:hAnsi="仿宋_GB2312" w:cs="仿宋_GB2312" w:eastAsia="仿宋_GB2312"/>
                <w:sz w:val="24"/>
              </w:rPr>
              <w:t>有义务保密，未经采购单位许可，不得擅自使用，不得向第三方转让，否则采购单位有权对此追究责任。</w:t>
            </w:r>
          </w:p>
          <w:p>
            <w:pPr>
              <w:pStyle w:val="null3"/>
              <w:spacing w:before="105" w:after="120"/>
              <w:jc w:val="both"/>
            </w:pPr>
            <w:r>
              <w:rPr>
                <w:rFonts w:ascii="仿宋_GB2312" w:hAnsi="仿宋_GB2312" w:cs="仿宋_GB2312" w:eastAsia="仿宋_GB2312"/>
                <w:sz w:val="24"/>
              </w:rPr>
              <w:t>（三）</w:t>
            </w:r>
            <w:r>
              <w:rPr>
                <w:rFonts w:ascii="仿宋_GB2312" w:hAnsi="仿宋_GB2312" w:cs="仿宋_GB2312" w:eastAsia="仿宋_GB2312"/>
                <w:sz w:val="24"/>
              </w:rPr>
              <w:t>由采购单位组织成果质量检验，检验费用由成交</w:t>
            </w:r>
            <w:r>
              <w:rPr>
                <w:rFonts w:ascii="仿宋_GB2312" w:hAnsi="仿宋_GB2312" w:cs="仿宋_GB2312" w:eastAsia="仿宋_GB2312"/>
                <w:sz w:val="24"/>
              </w:rPr>
              <w:t>供应商</w:t>
            </w:r>
            <w:r>
              <w:rPr>
                <w:rFonts w:ascii="仿宋_GB2312" w:hAnsi="仿宋_GB2312" w:cs="仿宋_GB2312" w:eastAsia="仿宋_GB2312"/>
                <w:sz w:val="24"/>
              </w:rPr>
              <w:t>承担。</w:t>
            </w:r>
          </w:p>
          <w:p>
            <w:pPr>
              <w:pStyle w:val="null3"/>
              <w:spacing w:after="1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合同签订之日起至2027年2月28日止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完成后，供应商提交13家矿山完整合规的资产评估报告、核查底稿及全套备案成果资料。由采购人按采购要求、国家评估准则及行业规范开展初步验收，核查成果完整性、真实性、准确性、合规性，初验合格后逐级上报，接受各级主管部门审核备案及最终验收，确保项目成果一次性通过全部层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其他，全面完成矿山资产评全部工作，全部成果完全符合各级主管部门审核、备案及验收规范要求，达到付款条件起10个工作日内，支付合同总金额的100.0%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成交供应商未按约定保质保量按期交付项目成果、违反人员管理及知识产权相关约定的，采购人有权扣除违约金、终止合同并追偿损失；采购人无故逾期付款，按合同约定承担相应违约责任。（2）争议解决：合同履行产生纠纷，双方优先协商处理；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供应商具有独立承担民事责任能力的法人、其他组织，并出具合法有效的营业执照或事业单位法人证书等国家规定的相关证明。（材料应清晰可辨并进行电子签章）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供应商须具备省级财政主管部门备案的资产评估执业资质、行业主管部门颁发的矿业权评估资质，须提供资质证书复印件。（材料应清晰可辨并进行电子签章）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拟派项目负责人须具备有效的矿业权评估师职业资格证书，须提供资格证书复印件。（材料应清晰可辨并进行电子签章）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非联合体磋商声明函</w:t>
            </w:r>
          </w:p>
        </w:tc>
        <w:tc>
          <w:tcPr>
            <w:tcW w:type="dxa" w:w="3322"/>
          </w:tcPr>
          <w:p>
            <w:pPr>
              <w:pStyle w:val="null3"/>
            </w:pPr>
            <w:r>
              <w:rPr>
                <w:rFonts w:ascii="仿宋_GB2312" w:hAnsi="仿宋_GB2312" w:cs="仿宋_GB2312" w:eastAsia="仿宋_GB2312"/>
              </w:rPr>
              <w:t>本项目不接受联合体磋商（提供非联合体声明）。（材料应清晰可辨并进行电子签章）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中小企业声明函 商务应答表 服务内容及服务要求应答表 报价表 团队人员配置.pdf 响应文件封面 供应商类似项目业绩一览表.pdf 残疾人福利性单位声明函 服务方案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中小企业声明函 商务应答表 服务内容及服务要求应答表 报价表 团队人员配置.pdf 响应文件封面 供应商类似项目业绩一览表.pdf 残疾人福利性单位声明函 服务方案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一、评审内容：供应商须结合本次 13 家矿山资产评估项目实际情况，编制完整专项评估实施方案，内容包括但不限于：①项目实施方案、②工作进度计划、③工作过程中协调与衔接、④突发事件应急预案。 二、评审标准 （1）完整性：方案完整覆盖项目全流程实施环节，无缺项、无遗漏； （2）合理性：技术路线规范、实施流程清晰、方案落地性强、全程合规合法； （3）针对性：贴合本项目多矿山集中评估的项目特点，为本次项目专属定制编制，无通用模板套用情况。 三、赋分标准 本评审内容共四项，满分16分，每项分值4分。投标方案内容全面详实、贴合项目实际、技术措施科学可行、完全满足采购需求的，得满分16分。每缺失一项核心内容扣4分；每项内容存在缺陷的每1处扣1分，单一项缺陷累计扣分不超过4分，分值扣完即止。 四、未提供本项方案的，本项不得分。 备注：缺陷是指该项评审内容虽有对应阐述，但存在内容过于简单、内容不完善、前后表述不一致、模板化严重、与本项目需求不匹配、存在常识性错误及其他不利于项目实施的情形。无对应分项内容的按整项缺失扣分，不按缺陷扣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质量管控与安全保密方案</w:t>
            </w:r>
          </w:p>
        </w:tc>
        <w:tc>
          <w:tcPr>
            <w:tcW w:type="dxa" w:w="2492"/>
          </w:tcPr>
          <w:p>
            <w:pPr>
              <w:pStyle w:val="null3"/>
            </w:pPr>
            <w:r>
              <w:rPr>
                <w:rFonts w:ascii="仿宋_GB2312" w:hAnsi="仿宋_GB2312" w:cs="仿宋_GB2312" w:eastAsia="仿宋_GB2312"/>
              </w:rPr>
              <w:t>一、评审内容：供应商须结合本次 13 家矿山资产评估项目实际情况，编制完整的专项质量保障及安全保密方案，方案内容包括但不限于：①项目质量保障方案、②安全保密方案、③项目资料档案保密管控方案，全面覆盖项目质量控制、报告编制、成果归档全流程管控需求。 二、评审标准 （1）完整性：方案完整覆盖项目质量、保密、档案管控全流程，无缺项、无遗漏； （2）合理性：管控措施规范、实施流程清晰、方案落地性强、全程合规合法； （3）针对性：贴合本项目多矿山集中评估的项目特点，为本次项目专属定制编制，无通用模板套用情况。 三、赋分标准 本评审内容共三项，满分12分，每项分值4分。投标方案内容全面详实、贴合项目实际、管控措施科学可行、完全满足采购需求的，得满分12分。每缺失一项核心内容扣4分；每项内容存在缺陷的每1处扣1分，单一项缺陷累计扣分不超过4分，分值扣完即止。 四、未提供本项方案的，本项不得分。 备注：缺陷是指该项评审内容虽有对应阐述，但存在内容过于简单、内容不完善、前后表述不一致、模板化严重、与本项目需求不匹配、存在常识性错误及其他不利于项目实施的情形。无对应分项内容的按整项缺失扣分，不按缺陷扣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售后服务与履约保障</w:t>
            </w:r>
          </w:p>
        </w:tc>
        <w:tc>
          <w:tcPr>
            <w:tcW w:type="dxa" w:w="2492"/>
          </w:tcPr>
          <w:p>
            <w:pPr>
              <w:pStyle w:val="null3"/>
            </w:pPr>
            <w:r>
              <w:rPr>
                <w:rFonts w:ascii="仿宋_GB2312" w:hAnsi="仿宋_GB2312" w:cs="仿宋_GB2312" w:eastAsia="仿宋_GB2312"/>
              </w:rPr>
              <w:t>一、评审内容：供应商须结合本次 13 家矿山资产评估项目实际情况，编制完善的售后及履约保障方案，方案内容包括但不限于：①售后服务方案、②履约保障方案、③售后服务承诺。 二、评审标准 （1）完整性：方案覆盖售后服务、履约保障、服务承诺相关内容，全流程无缺项、无遗漏； （2）合理性：保障措施规范、实施流程清晰、合规可行、落地性强； （3）针对性：贴合本项目多矿山集中评估的项目特点，为本次项目专属定制编制，无通用模板套用情况。 三、赋分标准 本评审内容共三项，满分12分，每项分值4分。投标方案内容全面详实、贴合项目实际、保障措施科学可行、完全满足采购需求的，得满分12分。每缺失一项核心内容扣4分；每项内容存在缺陷的1处扣1分，单一项缺陷累计扣分不超过4分，分值扣完即止。 四、未提供本项方案的，本项不得分。 备注：缺陷是指该项评审内容虽有对应阐述，但存在内容过于简单、内容不完善、前后表述不一致、模板化严重、与本项目需求不匹配、存在常识性错误及其他不利于项目实施的情形。无对应分项内容的按整项缺失扣分，不按缺陷扣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企业执业能力与信誉</w:t>
            </w:r>
          </w:p>
        </w:tc>
        <w:tc>
          <w:tcPr>
            <w:tcW w:type="dxa" w:w="2492"/>
          </w:tcPr>
          <w:p>
            <w:pPr>
              <w:pStyle w:val="null3"/>
            </w:pPr>
            <w:r>
              <w:rPr>
                <w:rFonts w:ascii="仿宋_GB2312" w:hAnsi="仿宋_GB2312" w:cs="仿宋_GB2312" w:eastAsia="仿宋_GB2312"/>
              </w:rPr>
              <w:t>供应商提供加盖单位公章的书面承诺： 1、承诺对本项目全部评估成果承担相应法律责任，保障成果合规并通过验收，得4分； 2、承诺本项目核心团队人员履约期间保持稳定，未经采购人书面同意不擅自更换项目人员，得4分； 3、承诺对本项目评估数据、相关资料档案严格保密，不对外泄露、不用于本项目以外商业用途，得4分。 本项累计最高 12 分。未提供对应承诺的，对应条款不得分。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供应商提供2023年8月1日至响应文件递交截止之日止的矿山资产评估、采矿权价值评估类似项目业绩，每提供1项有效业绩得 2.5分，本项满分5分。 注：业绩认定以合同协议书签订时间或中标（成交）通知书发放时间为准，需提供合同或中标（成交）通知书清晰扫描件/复印件，并加盖供应商企业公章。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供应商类似项目业绩一览表.pdf</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1、拟派项目负责人：同时具备资产评估师和矿业权评估师得3分，具有相关专业高级职称得3分，满分6分。 （需提供身份证、学历证书、本单位在职证明材料（社保证明或劳动合同）、职业资格证书、职称证书作为评审依据材料。未提供对应材料的，相关评审项不予计分。） 2、项目工作团队（项目负责人除外）：①资产评估师在2名评估师的基础上，每增加1名资产评估师得2分，满分6分；②矿业权评估师在2名评估师的基础上，每增加1名矿业权评估师得2分，满分6分。 （需提供身份证、学历证书、本单位在职证明材料（社保证明或劳动合同）、职业资格证书作为评审依据材料。未提供对应材料的，相关评审项不予计分。）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团队人员配置.pdf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磋商文件全部要求且最终磋商报价最低的供应商报价为磋商基准价，得价格满分；其余供应商价格分计算公式：磋商报价得分＝（磋商基准价÷供应商最终磋商报价）×价格总分值。 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详见附件：供应商类似项目业绩一览表.pdf</w:t>
      </w:r>
    </w:p>
    <w:p>
      <w:pPr>
        <w:pStyle w:val="null3"/>
        <w:ind w:firstLine="960"/>
      </w:pPr>
      <w:r>
        <w:rPr>
          <w:rFonts w:ascii="仿宋_GB2312" w:hAnsi="仿宋_GB2312" w:cs="仿宋_GB2312" w:eastAsia="仿宋_GB2312"/>
        </w:rPr>
        <w:t>详见附件：团队人员配置.pdf</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