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版本号：SZY20261390048-1（KY2026-1-540）20260616001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2026年暑期新生学生公寓粉刷项目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SZY20261390048-1（KY2026-1-540）</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2026年暑期新生学生公寓粉刷项目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SZY20261390048-1（KY2026-1-540）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2026年暑期新生学生公寓粉刷项目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陕西中医药大学2026年暑期新生学生公寓粉刷项目，1项。具体内容详见磋商文件。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存的至少一个月的依法缴纳税款的相关凭据（时间以税款所属日期为准），凭据应有税务机关或代收机关的公章或业务专用章。依法免税或无须缴纳税款的供应商，应提供相应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5、书面声明：参加本次政府采购活动前三年内在经营活动中没有重大违法记录，以及未被列入“信用中国”失信被执行人、重大税收违法失信主体、未列入政府采购严重违法失信行为记录名单的书面声明。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8、企业资质：供应商须具备建筑工程施工总承包三级及以上资质或建筑装修装饰工程专业承包二级及以上资质；且具备合法有效的安全生产许可证。</w:t>
      </w:r>
    </w:p>
    <w:p>
      <w:pPr>
        <w:pStyle w:val="null3"/>
      </w:pPr>
      <w:r>
        <w:rPr>
          <w:rFonts w:ascii="仿宋_GB2312" w:hAnsi="仿宋_GB2312" w:cs="仿宋_GB2312" w:eastAsia="仿宋_GB2312"/>
        </w:rPr>
        <w:t>9、项目经理资质：拟派项目经理须具备建筑工程专业二级及以上注册建造师资格和安全生产考核合格证，且无其他在建项目（提供无在建工程的承诺函）。</w:t>
      </w:r>
    </w:p>
    <w:p>
      <w:pPr>
        <w:pStyle w:val="null3"/>
      </w:pPr>
      <w:r>
        <w:rPr>
          <w:rFonts w:ascii="仿宋_GB2312" w:hAnsi="仿宋_GB2312" w:cs="仿宋_GB2312" w:eastAsia="仿宋_GB2312"/>
        </w:rPr>
        <w:t>10、其他要求：供应商及其拟派项目经理相关信息须在“陕西省住房和城乡建设厅”官方网站可查询。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咸阳世纪大道1号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采购包1：620,141.71元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 号）规定的招标代理服务收费标准下浮 25%收取，不足5000元按5000元收取。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联系人：杭琨、丁嘉伟</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620,141.71</w:t>
      </w:r>
    </w:p>
    <w:p>
      <w:pPr>
        <w:pStyle w:val="null3"/>
      </w:pPr>
      <w:r>
        <w:rPr>
          <w:rFonts w:ascii="仿宋_GB2312" w:hAnsi="仿宋_GB2312" w:cs="仿宋_GB2312" w:eastAsia="仿宋_GB2312"/>
        </w:rPr>
        <w:t>采购包最高限价（元）: 620,141.71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2026年暑期新生学生公寓粉刷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620,141.71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标的名称：2026年暑期新生学生公寓粉刷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0"/>
              <w:gridCol w:w="3641"/>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技术参数与性能指标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1.工程概况：因学生公寓墙面存在老化、污渍、墙皮脱落等问题，影响住宿环境。通过粉刷翻新，能够提升公寓整体形象，为学生创造更舒适、整洁的居住空间，同时有助于增强学生对学校的归属感。</w:t>
                  </w:r>
                </w:p>
                <w:p>
                  <w:pPr>
                    <w:pStyle w:val="null3"/>
                    <w:jc w:val="left"/>
                  </w:pPr>
                  <w:r>
                    <w:rPr>
                      <w:rFonts w:ascii="仿宋_GB2312" w:hAnsi="仿宋_GB2312" w:cs="仿宋_GB2312" w:eastAsia="仿宋_GB2312"/>
                      <w:sz w:val="21"/>
                      <w:b/>
                    </w:rPr>
                    <w:t>二、技术要求</w:t>
                  </w:r>
                </w:p>
                <w:p>
                  <w:pPr>
                    <w:pStyle w:val="null3"/>
                    <w:ind w:firstLine="422"/>
                    <w:jc w:val="left"/>
                  </w:pPr>
                  <w:r>
                    <w:rPr>
                      <w:rFonts w:ascii="仿宋_GB2312" w:hAnsi="仿宋_GB2312" w:cs="仿宋_GB2312" w:eastAsia="仿宋_GB2312"/>
                      <w:sz w:val="21"/>
                      <w:b/>
                    </w:rPr>
                    <w:t>1、工程量清单（详见附件）：</w:t>
                  </w:r>
                </w:p>
                <w:p>
                  <w:pPr>
                    <w:pStyle w:val="null3"/>
                    <w:jc w:val="left"/>
                  </w:pPr>
                  <w:r>
                    <w:rPr>
                      <w:rFonts w:ascii="仿宋_GB2312" w:hAnsi="仿宋_GB2312" w:cs="仿宋_GB2312" w:eastAsia="仿宋_GB2312"/>
                      <w:sz w:val="21"/>
                      <w:b/>
                    </w:rPr>
                    <w:t>墙</w:t>
                  </w:r>
                  <w:r>
                    <w:rPr>
                      <w:rFonts w:ascii="仿宋_GB2312" w:hAnsi="仿宋_GB2312" w:cs="仿宋_GB2312" w:eastAsia="仿宋_GB2312"/>
                      <w:sz w:val="21"/>
                      <w:b/>
                    </w:rPr>
                    <w:t>/顶面铲除灰皮暂定量：500m²,铲除墙纸暂定量：500m²，墙面乳胶漆暂定量：37371 m²; 顶棚乳胶漆暂定量：1000m²; 宿舍架子床搬移并恢复暂定量：603 间；外墙乳胶漆暂定量：300m²。</w:t>
                  </w:r>
                </w:p>
                <w:p>
                  <w:pPr>
                    <w:pStyle w:val="null3"/>
                    <w:ind w:firstLine="422"/>
                    <w:jc w:val="left"/>
                  </w:pP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主材</w:t>
                  </w:r>
                  <w:r>
                    <w:rPr>
                      <w:rFonts w:ascii="仿宋_GB2312" w:hAnsi="仿宋_GB2312" w:cs="仿宋_GB2312" w:eastAsia="仿宋_GB2312"/>
                      <w:sz w:val="21"/>
                      <w:b/>
                    </w:rPr>
                    <w:t>选择：</w:t>
                  </w:r>
                  <w:r>
                    <w:rPr>
                      <w:rFonts w:ascii="仿宋_GB2312" w:hAnsi="仿宋_GB2312" w:cs="仿宋_GB2312" w:eastAsia="仿宋_GB2312"/>
                      <w:sz w:val="21"/>
                      <w:b/>
                    </w:rPr>
                    <w:t>水性墙面涂料中有害物质限量的限量值必须满足</w:t>
                  </w:r>
                  <w:r>
                    <w:rPr>
                      <w:rFonts w:ascii="仿宋_GB2312" w:hAnsi="仿宋_GB2312" w:cs="仿宋_GB2312" w:eastAsia="仿宋_GB2312"/>
                      <w:sz w:val="21"/>
                      <w:b/>
                    </w:rPr>
                    <w:t>GB+18582-2020</w:t>
                  </w:r>
                </w:p>
                <w:p>
                  <w:pPr>
                    <w:pStyle w:val="null3"/>
                    <w:jc w:val="left"/>
                  </w:pPr>
                  <w:r>
                    <w:rPr>
                      <w:rFonts w:ascii="仿宋_GB2312" w:hAnsi="仿宋_GB2312" w:cs="仿宋_GB2312" w:eastAsia="仿宋_GB2312"/>
                      <w:sz w:val="21"/>
                      <w:b/>
                    </w:rPr>
                    <w:t>面漆的要求需满足</w:t>
                  </w:r>
                  <w:r>
                    <w:rPr>
                      <w:rFonts w:ascii="仿宋_GB2312" w:hAnsi="仿宋_GB2312" w:cs="仿宋_GB2312" w:eastAsia="仿宋_GB2312"/>
                      <w:sz w:val="21"/>
                      <w:b/>
                    </w:rPr>
                    <w:t>GB/T 9756-2018表2，级别越高分数越高</w:t>
                  </w:r>
                </w:p>
                <w:p>
                  <w:pPr>
                    <w:pStyle w:val="null3"/>
                    <w:jc w:val="left"/>
                  </w:pPr>
                  <w:r>
                    <w:rPr>
                      <w:rFonts w:ascii="仿宋_GB2312" w:hAnsi="仿宋_GB2312" w:cs="仿宋_GB2312" w:eastAsia="仿宋_GB2312"/>
                      <w:sz w:val="21"/>
                      <w:b/>
                    </w:rPr>
                    <w:t>材料的合格证及检测报告（有国家质量检测的合格抽检报告加分）</w:t>
                  </w:r>
                  <w:r>
                    <w:rPr>
                      <w:rFonts w:ascii="仿宋_GB2312" w:hAnsi="仿宋_GB2312" w:cs="仿宋_GB2312" w:eastAsia="仿宋_GB2312"/>
                      <w:sz w:val="21"/>
                    </w:rPr>
                    <w:t>。</w:t>
                  </w:r>
                </w:p>
                <w:p>
                  <w:pPr>
                    <w:pStyle w:val="null3"/>
                    <w:ind w:firstLine="422"/>
                    <w:jc w:val="left"/>
                  </w:pPr>
                  <w:r>
                    <w:rPr>
                      <w:rFonts w:ascii="仿宋_GB2312" w:hAnsi="仿宋_GB2312" w:cs="仿宋_GB2312" w:eastAsia="仿宋_GB2312"/>
                      <w:sz w:val="21"/>
                      <w:b/>
                    </w:rPr>
                    <w:t>3.施工工艺：施工方案、成品保护、基层处理、腻子批刮、2遍乳胶漆。特殊部位做防水处理。</w:t>
                  </w:r>
                </w:p>
                <w:p>
                  <w:pPr>
                    <w:pStyle w:val="null3"/>
                    <w:jc w:val="left"/>
                  </w:pPr>
                  <w:r>
                    <w:rPr>
                      <w:rFonts w:ascii="仿宋_GB2312" w:hAnsi="仿宋_GB2312" w:cs="仿宋_GB2312" w:eastAsia="仿宋_GB2312"/>
                      <w:sz w:val="21"/>
                      <w:b/>
                    </w:rPr>
                    <w:t>三、质量保证</w:t>
                  </w:r>
                </w:p>
                <w:p>
                  <w:pPr>
                    <w:pStyle w:val="null3"/>
                    <w:ind w:firstLine="210"/>
                    <w:jc w:val="both"/>
                  </w:pPr>
                  <w:r>
                    <w:rPr>
                      <w:rFonts w:ascii="仿宋_GB2312" w:hAnsi="仿宋_GB2312" w:cs="仿宋_GB2312" w:eastAsia="仿宋_GB2312"/>
                      <w:sz w:val="21"/>
                    </w:rPr>
                    <w:t>(一)工程质量要求</w:t>
                  </w:r>
                </w:p>
                <w:p>
                  <w:pPr>
                    <w:pStyle w:val="null3"/>
                    <w:ind w:firstLine="210"/>
                    <w:jc w:val="both"/>
                  </w:pPr>
                  <w:r>
                    <w:rPr>
                      <w:rFonts w:ascii="仿宋_GB2312" w:hAnsi="仿宋_GB2312" w:cs="仿宋_GB2312" w:eastAsia="仿宋_GB2312"/>
                      <w:sz w:val="21"/>
                    </w:rPr>
                    <w:t>1.工程质量需符合《建筑装饰装修工程质量验收标准》( GB 50210-2018),达到合格标准， 一次性验收通过率100%。</w:t>
                  </w:r>
                </w:p>
                <w:p>
                  <w:pPr>
                    <w:pStyle w:val="null3"/>
                    <w:ind w:firstLine="210"/>
                    <w:jc w:val="both"/>
                  </w:pPr>
                  <w:r>
                    <w:rPr>
                      <w:rFonts w:ascii="仿宋_GB2312" w:hAnsi="仿宋_GB2312" w:cs="仿宋_GB2312" w:eastAsia="仿宋_GB2312"/>
                      <w:sz w:val="21"/>
                    </w:rPr>
                    <w:t>2. 墙面、顶面涂层色泽均匀、无瑕疵，满足环保、耐擦洗、抗冲 击要求，质保期内不出现大面积脱落、开裂、褪色等问题。</w:t>
                  </w:r>
                </w:p>
                <w:p>
                  <w:pPr>
                    <w:pStyle w:val="null3"/>
                    <w:ind w:firstLine="210"/>
                    <w:jc w:val="both"/>
                  </w:pPr>
                  <w:r>
                    <w:rPr>
                      <w:rFonts w:ascii="仿宋_GB2312" w:hAnsi="仿宋_GB2312" w:cs="仿宋_GB2312" w:eastAsia="仿宋_GB2312"/>
                      <w:sz w:val="21"/>
                    </w:rPr>
                    <w:t>(二)环保要求</w:t>
                  </w:r>
                </w:p>
                <w:p>
                  <w:pPr>
                    <w:pStyle w:val="null3"/>
                    <w:ind w:firstLine="210"/>
                    <w:jc w:val="both"/>
                  </w:pPr>
                  <w:r>
                    <w:rPr>
                      <w:rFonts w:ascii="仿宋_GB2312" w:hAnsi="仿宋_GB2312" w:cs="仿宋_GB2312" w:eastAsia="仿宋_GB2312"/>
                      <w:sz w:val="21"/>
                    </w:rPr>
                    <w:t>1. 环保要求：涂料有害物质限量需符合《室内装饰装修材料内墙涂料中有害物质限量》( GB  18582-2020), 甲醛释放量≤0.1mg/m³,  苯系物总和≤100mg/kg, 施工过程中无刺激性异味，确保学生健康安 全。</w:t>
                  </w:r>
                </w:p>
                <w:p>
                  <w:pPr>
                    <w:pStyle w:val="null3"/>
                    <w:jc w:val="left"/>
                  </w:pPr>
                  <w:r>
                    <w:rPr>
                      <w:rFonts w:ascii="仿宋_GB2312" w:hAnsi="仿宋_GB2312" w:cs="仿宋_GB2312" w:eastAsia="仿宋_GB2312"/>
                      <w:sz w:val="21"/>
                    </w:rPr>
                    <w:t>2. 耐久性要求：涂层使用寿命≥2年，质保期内(自验收合格之 日起2年)免费维修。</w:t>
                  </w:r>
                </w:p>
                <w:p>
                  <w:pPr>
                    <w:pStyle w:val="null3"/>
                    <w:ind w:firstLine="210"/>
                    <w:jc w:val="both"/>
                  </w:pPr>
                  <w:r>
                    <w:rPr>
                      <w:rFonts w:ascii="仿宋_GB2312" w:hAnsi="仿宋_GB2312" w:cs="仿宋_GB2312" w:eastAsia="仿宋_GB2312"/>
                      <w:sz w:val="21"/>
                    </w:rPr>
                    <w:t>(三)质量验收标准</w:t>
                  </w:r>
                </w:p>
                <w:p>
                  <w:pPr>
                    <w:pStyle w:val="null3"/>
                    <w:ind w:firstLine="210"/>
                    <w:jc w:val="both"/>
                  </w:pPr>
                  <w:r>
                    <w:rPr>
                      <w:rFonts w:ascii="仿宋_GB2312" w:hAnsi="仿宋_GB2312" w:cs="仿宋_GB2312" w:eastAsia="仿宋_GB2312"/>
                      <w:sz w:val="21"/>
                    </w:rPr>
                    <w:t>1.基层处理标准</w:t>
                  </w:r>
                </w:p>
                <w:tbl>
                  <w:tblPr>
                    <w:tblBorders>
                      <w:top w:val="none" w:color="000000" w:sz="4"/>
                      <w:left w:val="none" w:color="000000" w:sz="4"/>
                      <w:bottom w:val="none" w:color="000000" w:sz="4"/>
                      <w:right w:val="none" w:color="000000" w:sz="4"/>
                      <w:insideH w:val="none"/>
                      <w:insideV w:val="none"/>
                    </w:tblBorders>
                  </w:tblPr>
                  <w:tblGrid>
                    <w:gridCol w:w="583"/>
                    <w:gridCol w:w="1987"/>
                    <w:gridCol w:w="729"/>
                  </w:tblGrid>
                  <w:tr>
                    <w:tc>
                      <w:tcPr>
                        <w:tcW w:type="dxa" w:w="5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项目</w:t>
                        </w:r>
                      </w:p>
                    </w:tc>
                    <w:tc>
                      <w:tcPr>
                        <w:tcW w:type="dxa" w:w="198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验收指标</w:t>
                        </w:r>
                      </w:p>
                    </w:tc>
                    <w:tc>
                      <w:tcPr>
                        <w:tcW w:type="dxa" w:w="72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依据规范</w:t>
                        </w: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墙面平整度</w:t>
                        </w:r>
                      </w:p>
                    </w:tc>
                    <w:tc>
                      <w:tcPr>
                        <w:tcW w:type="dxa" w:w="19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用</w:t>
                        </w:r>
                        <w:r>
                          <w:rPr>
                            <w:rFonts w:ascii="仿宋_GB2312" w:hAnsi="仿宋_GB2312" w:cs="仿宋_GB2312" w:eastAsia="仿宋_GB2312"/>
                            <w:sz w:val="21"/>
                          </w:rPr>
                          <w:t>2m 靠尺检查，偏差≤3mm</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GB 50210-2018</w:t>
                        </w:r>
                      </w:p>
                      <w:p>
                        <w:pPr>
                          <w:pStyle w:val="null3"/>
                          <w:ind w:left="105" w:right="105"/>
                          <w:jc w:val="both"/>
                        </w:pPr>
                        <w:r>
                          <w:rPr>
                            <w:rFonts w:ascii="仿宋_GB2312" w:hAnsi="仿宋_GB2312" w:cs="仿宋_GB2312" w:eastAsia="仿宋_GB2312"/>
                            <w:sz w:val="21"/>
                          </w:rPr>
                          <w:t>第</w:t>
                        </w:r>
                        <w:r>
                          <w:rPr>
                            <w:rFonts w:ascii="仿宋_GB2312" w:hAnsi="仿宋_GB2312" w:cs="仿宋_GB2312" w:eastAsia="仿宋_GB2312"/>
                            <w:sz w:val="21"/>
                          </w:rPr>
                          <w:t>4.2.9 条</w:t>
                        </w: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空鼓检</w:t>
                        </w:r>
                      </w:p>
                      <w:p>
                        <w:pPr>
                          <w:pStyle w:val="null3"/>
                          <w:ind w:left="105" w:right="105"/>
                          <w:jc w:val="both"/>
                        </w:pPr>
                        <w:r>
                          <w:rPr>
                            <w:rFonts w:ascii="仿宋_GB2312" w:hAnsi="仿宋_GB2312" w:cs="仿宋_GB2312" w:eastAsia="仿宋_GB2312"/>
                            <w:sz w:val="21"/>
                          </w:rPr>
                          <w:t>测</w:t>
                        </w:r>
                      </w:p>
                    </w:tc>
                    <w:tc>
                      <w:tcPr>
                        <w:tcW w:type="dxa" w:w="19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采用敲击法，单块空鼓面积</w:t>
                        </w:r>
                        <w:r>
                          <w:rPr>
                            <w:rFonts w:ascii="仿宋_GB2312" w:hAnsi="仿宋_GB2312" w:cs="仿宋_GB2312" w:eastAsia="仿宋_GB2312"/>
                            <w:sz w:val="21"/>
                          </w:rPr>
                          <w:t>≤400cm²,  每自然间(标准间)空鼓不超过2处</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GB 50210-2018  第 4.2.5 条</w:t>
                        </w: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裂缝处</w:t>
                        </w:r>
                      </w:p>
                      <w:p>
                        <w:pPr>
                          <w:pStyle w:val="null3"/>
                          <w:ind w:left="105" w:right="105"/>
                          <w:jc w:val="both"/>
                        </w:pPr>
                        <w:r>
                          <w:rPr>
                            <w:rFonts w:ascii="仿宋_GB2312" w:hAnsi="仿宋_GB2312" w:cs="仿宋_GB2312" w:eastAsia="仿宋_GB2312"/>
                            <w:sz w:val="21"/>
                          </w:rPr>
                          <w:t>理</w:t>
                        </w:r>
                      </w:p>
                    </w:tc>
                    <w:tc>
                      <w:tcPr>
                        <w:tcW w:type="dxa" w:w="19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宽度</w:t>
                        </w:r>
                        <w:r>
                          <w:rPr>
                            <w:rFonts w:ascii="仿宋_GB2312" w:hAnsi="仿宋_GB2312" w:cs="仿宋_GB2312" w:eastAsia="仿宋_GB2312"/>
                            <w:sz w:val="21"/>
                          </w:rPr>
                          <w:t>&gt;0.3mm 的裂缝需凿槽修补，粘贴耐碱网格布；发丝裂缝需用抗裂腻子覆盖</w:t>
                        </w:r>
                      </w:p>
                    </w:tc>
                    <w:tc>
                      <w:tcPr>
                        <w:tcW w:type="dxa" w:w="7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行业常规工艺标准</w:t>
                        </w:r>
                      </w:p>
                    </w:tc>
                  </w:tr>
                </w:tbl>
                <w:p>
                  <w:pPr>
                    <w:pStyle w:val="null3"/>
                    <w:ind w:firstLine="210"/>
                    <w:jc w:val="both"/>
                  </w:pPr>
                  <w:r>
                    <w:rPr>
                      <w:rFonts w:ascii="仿宋_GB2312" w:hAnsi="仿宋_GB2312" w:cs="仿宋_GB2312" w:eastAsia="仿宋_GB2312"/>
                      <w:sz w:val="21"/>
                    </w:rPr>
                    <w:t>2.涂料施工标准</w:t>
                  </w:r>
                </w:p>
                <w:tbl>
                  <w:tblPr>
                    <w:tblBorders>
                      <w:top w:val="none" w:color="000000" w:sz="4"/>
                      <w:left w:val="none" w:color="000000" w:sz="4"/>
                      <w:bottom w:val="none" w:color="000000" w:sz="4"/>
                      <w:right w:val="none" w:color="000000" w:sz="4"/>
                      <w:insideH w:val="none"/>
                      <w:insideV w:val="none"/>
                    </w:tblBorders>
                  </w:tblPr>
                  <w:tblGrid>
                    <w:gridCol w:w="630"/>
                    <w:gridCol w:w="1923"/>
                    <w:gridCol w:w="784"/>
                  </w:tblGrid>
                  <w:tr>
                    <w:tc>
                      <w:tcPr>
                        <w:tcW w:type="dxa" w:w="6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项目</w:t>
                        </w:r>
                      </w:p>
                    </w:tc>
                    <w:tc>
                      <w:tcPr>
                        <w:tcW w:type="dxa" w:w="19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验收指标</w:t>
                        </w:r>
                      </w:p>
                    </w:tc>
                    <w:tc>
                      <w:tcPr>
                        <w:tcW w:type="dxa" w:w="7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依据规范</w:t>
                        </w:r>
                      </w:p>
                    </w:tc>
                  </w:tr>
                  <w:tr>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色泽均匀度</w:t>
                        </w:r>
                      </w:p>
                    </w:tc>
                    <w:tc>
                      <w:tcPr>
                        <w:tcW w:type="dxa" w:w="1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无明显色差、流坠、刷痕，目视观感一致</w:t>
                        </w:r>
                      </w:p>
                    </w:tc>
                    <w:tc>
                      <w:tcPr>
                        <w:tcW w:type="dxa" w:w="7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GB 50210-2018 第 10.2.6条</w:t>
                        </w:r>
                      </w:p>
                    </w:tc>
                  </w:tr>
                  <w:tr>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涂层厚度</w:t>
                        </w:r>
                      </w:p>
                    </w:tc>
                    <w:tc>
                      <w:tcPr>
                        <w:tcW w:type="dxa" w:w="1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采用涂层测厚仪检测，平均厚度</w:t>
                        </w:r>
                        <w:r>
                          <w:rPr>
                            <w:rFonts w:ascii="仿宋_GB2312" w:hAnsi="仿宋_GB2312" w:cs="仿宋_GB2312" w:eastAsia="仿宋_GB2312"/>
                            <w:sz w:val="21"/>
                          </w:rPr>
                          <w:t>≥设计值 的90%,最小厚度≥设计值的85%</w:t>
                        </w:r>
                      </w:p>
                    </w:tc>
                    <w:tc>
                      <w:tcPr>
                        <w:tcW w:type="dxa" w:w="7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GB 50210-2018 第 10.2.5 条</w:t>
                        </w:r>
                      </w:p>
                    </w:tc>
                  </w:tr>
                  <w:tr>
                    <w:tc>
                      <w:tcPr>
                        <w:tcW w:type="dxa" w:w="6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附着力</w:t>
                        </w:r>
                      </w:p>
                    </w:tc>
                    <w:tc>
                      <w:tcPr>
                        <w:tcW w:type="dxa" w:w="19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用划格法</w:t>
                        </w:r>
                        <w:r>
                          <w:rPr>
                            <w:rFonts w:ascii="仿宋_GB2312" w:hAnsi="仿宋_GB2312" w:cs="仿宋_GB2312" w:eastAsia="仿宋_GB2312"/>
                            <w:sz w:val="21"/>
                          </w:rPr>
                          <w:t>(间距1mm) 检测，涂层脱落面 积≤5%</w:t>
                        </w:r>
                      </w:p>
                    </w:tc>
                    <w:tc>
                      <w:tcPr>
                        <w:tcW w:type="dxa" w:w="7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GB/T  9286-199</w:t>
                        </w:r>
                      </w:p>
                    </w:tc>
                  </w:tr>
                </w:tbl>
                <w:p>
                  <w:pPr>
                    <w:pStyle w:val="null3"/>
                    <w:ind w:firstLine="210"/>
                    <w:jc w:val="both"/>
                  </w:pPr>
                  <w:r>
                    <w:rPr>
                      <w:rFonts w:ascii="仿宋_GB2312" w:hAnsi="仿宋_GB2312" w:cs="仿宋_GB2312" w:eastAsia="仿宋_GB2312"/>
                      <w:sz w:val="21"/>
                    </w:rPr>
                    <w:t>3. 特殊部位处理</w:t>
                  </w:r>
                </w:p>
                <w:p>
                  <w:pPr>
                    <w:pStyle w:val="null3"/>
                    <w:ind w:firstLine="210"/>
                    <w:jc w:val="both"/>
                  </w:pPr>
                  <w:r>
                    <w:rPr>
                      <w:rFonts w:ascii="仿宋_GB2312" w:hAnsi="仿宋_GB2312" w:cs="仿宋_GB2312" w:eastAsia="仿宋_GB2312"/>
                      <w:sz w:val="21"/>
                    </w:rPr>
                    <w:t>(1)门窗周边：涂料需覆盖至门窗框与墙体接缝处，边缘整齐、无漏刷，密封胶饱满连续(参照 GB 50210-2018 第5.3节) 。</w:t>
                  </w:r>
                </w:p>
                <w:p>
                  <w:pPr>
                    <w:pStyle w:val="null3"/>
                    <w:ind w:firstLine="210"/>
                    <w:jc w:val="both"/>
                  </w:pPr>
                  <w:r>
                    <w:rPr>
                      <w:rFonts w:ascii="仿宋_GB2312" w:hAnsi="仿宋_GB2312" w:cs="仿宋_GB2312" w:eastAsia="仿宋_GB2312"/>
                      <w:sz w:val="21"/>
                    </w:rPr>
                    <w:t>(2)阴阳角：线条顺直，偏差≤2mm, 无缺棱掉角。</w:t>
                  </w:r>
                </w:p>
                <w:p>
                  <w:pPr>
                    <w:pStyle w:val="null3"/>
                    <w:ind w:firstLine="210"/>
                    <w:jc w:val="both"/>
                  </w:pPr>
                  <w:r>
                    <w:rPr>
                      <w:rFonts w:ascii="仿宋_GB2312" w:hAnsi="仿宋_GB2312" w:cs="仿宋_GB2312" w:eastAsia="仿宋_GB2312"/>
                      <w:sz w:val="21"/>
                    </w:rPr>
                    <w:t>(3)开关插座周边：涂层与面板边缘平齐，不得污染面板。</w:t>
                  </w:r>
                </w:p>
                <w:p>
                  <w:pPr>
                    <w:pStyle w:val="null3"/>
                    <w:ind w:firstLine="210"/>
                    <w:jc w:val="both"/>
                  </w:pPr>
                  <w:r>
                    <w:rPr>
                      <w:rFonts w:ascii="仿宋_GB2312" w:hAnsi="仿宋_GB2312" w:cs="仿宋_GB2312" w:eastAsia="仿宋_GB2312"/>
                      <w:sz w:val="21"/>
                    </w:rPr>
                    <w:t>(四)材料质量要求</w:t>
                  </w:r>
                </w:p>
                <w:tbl>
                  <w:tblPr>
                    <w:tblBorders>
                      <w:top w:val="none" w:color="000000" w:sz="4"/>
                      <w:left w:val="none" w:color="000000" w:sz="4"/>
                      <w:bottom w:val="none" w:color="000000" w:sz="4"/>
                      <w:right w:val="none" w:color="000000" w:sz="4"/>
                      <w:insideH w:val="none"/>
                      <w:insideV w:val="none"/>
                    </w:tblBorders>
                  </w:tblPr>
                  <w:tblGrid>
                    <w:gridCol w:w="487"/>
                    <w:gridCol w:w="326"/>
                    <w:gridCol w:w="1551"/>
                    <w:gridCol w:w="843"/>
                  </w:tblGrid>
                  <w:tr>
                    <w:tc>
                      <w:tcPr>
                        <w:tcW w:type="dxa" w:w="4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材料名称</w:t>
                        </w:r>
                      </w:p>
                    </w:tc>
                    <w:tc>
                      <w:tcPr>
                        <w:tcW w:type="dxa" w:w="32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品牌</w:t>
                        </w:r>
                      </w:p>
                    </w:tc>
                    <w:tc>
                      <w:tcPr>
                        <w:tcW w:type="dxa" w:w="15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规格参数</w:t>
                        </w:r>
                      </w:p>
                    </w:tc>
                    <w:tc>
                      <w:tcPr>
                        <w:tcW w:type="dxa" w:w="84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center"/>
                        </w:pPr>
                        <w:r>
                          <w:rPr>
                            <w:rFonts w:ascii="仿宋_GB2312" w:hAnsi="仿宋_GB2312" w:cs="仿宋_GB2312" w:eastAsia="仿宋_GB2312"/>
                            <w:sz w:val="21"/>
                          </w:rPr>
                          <w:t>检测报告要求</w:t>
                        </w:r>
                      </w:p>
                    </w:tc>
                  </w:tr>
                  <w:tr>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内墙腻子</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一线</w:t>
                        </w:r>
                      </w:p>
                      <w:p>
                        <w:pPr>
                          <w:pStyle w:val="null3"/>
                          <w:ind w:left="105" w:right="105"/>
                          <w:jc w:val="both"/>
                        </w:pPr>
                        <w:r>
                          <w:rPr>
                            <w:rFonts w:ascii="仿宋_GB2312" w:hAnsi="仿宋_GB2312" w:cs="仿宋_GB2312" w:eastAsia="仿宋_GB2312"/>
                            <w:sz w:val="21"/>
                          </w:rPr>
                          <w:t>品牌</w:t>
                        </w:r>
                      </w:p>
                    </w:tc>
                    <w:tc>
                      <w:tcPr>
                        <w:tcW w:type="dxa" w:w="15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耐水型</w:t>
                        </w:r>
                        <w:r>
                          <w:rPr>
                            <w:rFonts w:ascii="仿宋_GB2312" w:hAnsi="仿宋_GB2312" w:cs="仿宋_GB2312" w:eastAsia="仿宋_GB2312"/>
                            <w:sz w:val="21"/>
                          </w:rPr>
                          <w:t>( N 型),粘结强度≥0.5MPa, 符合 GB/T   29806-2013</w:t>
                        </w:r>
                      </w:p>
                    </w:tc>
                    <w:tc>
                      <w:tcPr>
                        <w:tcW w:type="dxa" w:w="8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每批次提供出厂合格证、甲醛</w:t>
                        </w:r>
                        <w:r>
                          <w:rPr>
                            <w:rFonts w:ascii="仿宋_GB2312" w:hAnsi="仿宋_GB2312" w:cs="仿宋_GB2312" w:eastAsia="仿宋_GB2312"/>
                            <w:sz w:val="21"/>
                          </w:rPr>
                          <w:t>检测报告</w:t>
                        </w:r>
                      </w:p>
                    </w:tc>
                  </w:tr>
                  <w:tr>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内墙涂料</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一线</w:t>
                        </w:r>
                      </w:p>
                      <w:p>
                        <w:pPr>
                          <w:pStyle w:val="null3"/>
                          <w:ind w:left="105" w:right="105"/>
                          <w:jc w:val="both"/>
                        </w:pPr>
                        <w:r>
                          <w:rPr>
                            <w:rFonts w:ascii="仿宋_GB2312" w:hAnsi="仿宋_GB2312" w:cs="仿宋_GB2312" w:eastAsia="仿宋_GB2312"/>
                            <w:sz w:val="21"/>
                          </w:rPr>
                          <w:t>品牌</w:t>
                        </w:r>
                      </w:p>
                    </w:tc>
                    <w:tc>
                      <w:tcPr>
                        <w:tcW w:type="dxa" w:w="15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水性丙烯酸乳胶漆，干膜遮盖力</w:t>
                        </w:r>
                        <w:r>
                          <w:rPr>
                            <w:rFonts w:ascii="仿宋_GB2312" w:hAnsi="仿宋_GB2312" w:cs="仿宋_GB2312" w:eastAsia="仿宋_GB2312"/>
                            <w:sz w:val="21"/>
                          </w:rPr>
                          <w:t>≥90%,耐擦洗次数 ≥5000 次 ( GB/T</w:t>
                        </w:r>
                      </w:p>
                      <w:p>
                        <w:pPr>
                          <w:pStyle w:val="null3"/>
                          <w:ind w:left="105" w:right="105"/>
                          <w:jc w:val="both"/>
                        </w:pPr>
                        <w:r>
                          <w:rPr>
                            <w:rFonts w:ascii="仿宋_GB2312" w:hAnsi="仿宋_GB2312" w:cs="仿宋_GB2312" w:eastAsia="仿宋_GB2312"/>
                            <w:sz w:val="21"/>
                          </w:rPr>
                          <w:t>9266-2009)</w:t>
                        </w:r>
                      </w:p>
                    </w:tc>
                    <w:tc>
                      <w:tcPr>
                        <w:tcW w:type="dxa" w:w="8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每批次提供</w:t>
                        </w:r>
                        <w:r>
                          <w:rPr>
                            <w:rFonts w:ascii="仿宋_GB2312" w:hAnsi="仿宋_GB2312" w:cs="仿宋_GB2312" w:eastAsia="仿宋_GB2312"/>
                            <w:sz w:val="21"/>
                          </w:rPr>
                          <w:t>VOC含量、苯系 物检测报告</w:t>
                        </w:r>
                      </w:p>
                    </w:tc>
                  </w:tr>
                  <w:tr>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界面剂</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一线</w:t>
                        </w:r>
                      </w:p>
                      <w:p>
                        <w:pPr>
                          <w:pStyle w:val="null3"/>
                          <w:ind w:left="105" w:right="105"/>
                          <w:jc w:val="both"/>
                        </w:pPr>
                        <w:r>
                          <w:rPr>
                            <w:rFonts w:ascii="仿宋_GB2312" w:hAnsi="仿宋_GB2312" w:cs="仿宋_GB2312" w:eastAsia="仿宋_GB2312"/>
                            <w:sz w:val="21"/>
                          </w:rPr>
                          <w:t>品牌</w:t>
                        </w:r>
                      </w:p>
                    </w:tc>
                    <w:tc>
                      <w:tcPr>
                        <w:tcW w:type="dxa" w:w="15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乳液型，与基层粘接强度</w:t>
                        </w:r>
                        <w:r>
                          <w:rPr>
                            <w:rFonts w:ascii="仿宋_GB2312" w:hAnsi="仿宋_GB2312" w:cs="仿宋_GB2312" w:eastAsia="仿宋_GB2312"/>
                            <w:sz w:val="21"/>
                          </w:rPr>
                          <w:t>≥0.3MPa</w:t>
                        </w:r>
                      </w:p>
                    </w:tc>
                    <w:tc>
                      <w:tcPr>
                        <w:tcW w:type="dxa" w:w="84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right="105"/>
                          <w:jc w:val="both"/>
                        </w:pPr>
                        <w:r>
                          <w:rPr>
                            <w:rFonts w:ascii="仿宋_GB2312" w:hAnsi="仿宋_GB2312" w:cs="仿宋_GB2312" w:eastAsia="仿宋_GB2312"/>
                            <w:sz w:val="21"/>
                          </w:rPr>
                          <w:t>提供环保性能</w:t>
                        </w:r>
                        <w:r>
                          <w:rPr>
                            <w:rFonts w:ascii="仿宋_GB2312" w:hAnsi="仿宋_GB2312" w:cs="仿宋_GB2312" w:eastAsia="仿宋_GB2312"/>
                            <w:sz w:val="21"/>
                          </w:rPr>
                          <w:t>检测报告</w:t>
                        </w:r>
                      </w:p>
                    </w:tc>
                  </w:tr>
                </w:tbl>
                <w:p>
                  <w:pPr>
                    <w:pStyle w:val="null3"/>
                    <w:ind w:firstLine="210"/>
                    <w:jc w:val="both"/>
                  </w:pPr>
                  <w:r>
                    <w:rPr>
                      <w:rFonts w:ascii="仿宋_GB2312" w:hAnsi="仿宋_GB2312" w:cs="仿宋_GB2312" w:eastAsia="仿宋_GB2312"/>
                      <w:sz w:val="21"/>
                    </w:rPr>
                    <w:t>禁用材料：</w:t>
                  </w:r>
                </w:p>
                <w:p>
                  <w:pPr>
                    <w:pStyle w:val="null3"/>
                    <w:ind w:firstLine="210"/>
                    <w:jc w:val="both"/>
                  </w:pPr>
                  <w:r>
                    <w:rPr>
                      <w:rFonts w:ascii="仿宋_GB2312" w:hAnsi="仿宋_GB2312" w:cs="仿宋_GB2312" w:eastAsia="仿宋_GB2312"/>
                      <w:sz w:val="21"/>
                    </w:rPr>
                    <w:t>(1)严禁使用溶剂型涂料、含石棉填料的腻子及国家明令的材料。</w:t>
                  </w:r>
                </w:p>
                <w:p>
                  <w:pPr>
                    <w:pStyle w:val="null3"/>
                    <w:ind w:firstLine="210"/>
                    <w:jc w:val="both"/>
                  </w:pPr>
                  <w:r>
                    <w:rPr>
                      <w:rFonts w:ascii="仿宋_GB2312" w:hAnsi="仿宋_GB2312" w:cs="仿宋_GB2312" w:eastAsia="仿宋_GB2312"/>
                      <w:sz w:val="21"/>
                    </w:rPr>
                    <w:t>(2)材料进场需经采购人、监理单位联合验收，见证取样复验 合格后方可使用，检测费用由施工单位承担。</w:t>
                  </w:r>
                </w:p>
                <w:p>
                  <w:pPr>
                    <w:pStyle w:val="null3"/>
                    <w:ind w:firstLine="210"/>
                    <w:jc w:val="both"/>
                  </w:pPr>
                  <w:r>
                    <w:rPr>
                      <w:rFonts w:ascii="仿宋_GB2312" w:hAnsi="仿宋_GB2312" w:cs="仿宋_GB2312" w:eastAsia="仿宋_GB2312"/>
                      <w:sz w:val="21"/>
                    </w:rPr>
                    <w:t>(五)施工工艺质量控制 关键工序要求：</w:t>
                  </w:r>
                </w:p>
                <w:p>
                  <w:pPr>
                    <w:pStyle w:val="null3"/>
                    <w:ind w:firstLine="210"/>
                    <w:jc w:val="both"/>
                  </w:pPr>
                  <w:r>
                    <w:rPr>
                      <w:rFonts w:ascii="仿宋_GB2312" w:hAnsi="仿宋_GB2312" w:cs="仿宋_GB2312" w:eastAsia="仿宋_GB2312"/>
                      <w:sz w:val="21"/>
                    </w:rPr>
                    <w:t>(1)基层处理：墙面需清理干净，铲除原疏松涂层，用界面剂 滚涂封底，确保基层牢固(施工前拍照留存原始状态)。</w:t>
                  </w:r>
                </w:p>
                <w:p>
                  <w:pPr>
                    <w:pStyle w:val="null3"/>
                    <w:ind w:firstLine="210"/>
                    <w:jc w:val="both"/>
                  </w:pPr>
                  <w:r>
                    <w:rPr>
                      <w:rFonts w:ascii="仿宋_GB2312" w:hAnsi="仿宋_GB2312" w:cs="仿宋_GB2312" w:eastAsia="仿宋_GB2312"/>
                      <w:sz w:val="21"/>
                    </w:rPr>
                    <w:t>(2)腻子施工：至少刮涂2遍，每遍干燥后打磨平整，平整度 误差≤2mm。</w:t>
                  </w:r>
                </w:p>
                <w:p>
                  <w:pPr>
                    <w:pStyle w:val="null3"/>
                    <w:ind w:firstLine="210"/>
                    <w:jc w:val="both"/>
                  </w:pPr>
                  <w:r>
                    <w:rPr>
                      <w:rFonts w:ascii="仿宋_GB2312" w:hAnsi="仿宋_GB2312" w:cs="仿宋_GB2312" w:eastAsia="仿宋_GB2312"/>
                      <w:sz w:val="21"/>
                    </w:rPr>
                    <w:t>(3)涂料施工：采用刷涂或滚涂工艺，第一遍干透后再涂第二 遍，确保涂层均匀覆盖，避免漏涂成品保护</w:t>
                  </w:r>
                </w:p>
                <w:p>
                  <w:pPr>
                    <w:pStyle w:val="null3"/>
                    <w:ind w:firstLine="210"/>
                    <w:jc w:val="both"/>
                  </w:pPr>
                  <w:r>
                    <w:rPr>
                      <w:rFonts w:ascii="仿宋_GB2312" w:hAnsi="仿宋_GB2312" w:cs="仿宋_GB2312" w:eastAsia="仿宋_GB2312"/>
                      <w:sz w:val="21"/>
                    </w:rPr>
                    <w:t>(4)施工过程中需对地面、门窗、水电设施等进行覆盖保护， 完工后清理现场，恢复原有设施(如灯具、开关面板)。</w:t>
                  </w:r>
                </w:p>
                <w:p>
                  <w:pPr>
                    <w:pStyle w:val="null3"/>
                    <w:ind w:firstLine="210"/>
                    <w:jc w:val="both"/>
                  </w:pPr>
                  <w:r>
                    <w:rPr>
                      <w:rFonts w:ascii="仿宋_GB2312" w:hAnsi="仿宋_GB2312" w:cs="仿宋_GB2312" w:eastAsia="仿宋_GB2312"/>
                      <w:sz w:val="21"/>
                    </w:rPr>
                    <w:t>(六)质量保证措施与违约责任</w:t>
                  </w:r>
                </w:p>
                <w:p>
                  <w:pPr>
                    <w:pStyle w:val="null3"/>
                    <w:ind w:firstLine="210"/>
                    <w:jc w:val="both"/>
                  </w:pPr>
                  <w:r>
                    <w:rPr>
                      <w:rFonts w:ascii="仿宋_GB2312" w:hAnsi="仿宋_GB2312" w:cs="仿宋_GB2312" w:eastAsia="仿宋_GB2312"/>
                      <w:sz w:val="21"/>
                    </w:rPr>
                    <w:t>施工单位需建立项目经理负责制的质量管控小组，每周提交质量检查记录，关键工序</w:t>
                  </w:r>
                  <w:r>
                    <w:rPr>
                      <w:rFonts w:ascii="仿宋_GB2312" w:hAnsi="仿宋_GB2312" w:cs="仿宋_GB2312" w:eastAsia="仿宋_GB2312"/>
                      <w:sz w:val="21"/>
                    </w:rPr>
                    <w:t>(如基层验收、涂料涂刷)需经监理签字确认后 方可进入下道工序。</w:t>
                  </w:r>
                </w:p>
                <w:p>
                  <w:pPr>
                    <w:pStyle w:val="null3"/>
                    <w:ind w:firstLine="210"/>
                    <w:jc w:val="both"/>
                  </w:pPr>
                  <w:r>
                    <w:rPr>
                      <w:rFonts w:ascii="仿宋_GB2312" w:hAnsi="仿宋_GB2312" w:cs="仿宋_GB2312" w:eastAsia="仿宋_GB2312"/>
                      <w:sz w:val="21"/>
                    </w:rPr>
                    <w:t>违约处理：</w:t>
                  </w:r>
                </w:p>
                <w:p>
                  <w:pPr>
                    <w:pStyle w:val="null3"/>
                    <w:ind w:firstLine="210"/>
                    <w:jc w:val="both"/>
                  </w:pPr>
                  <w:r>
                    <w:rPr>
                      <w:rFonts w:ascii="仿宋_GB2312" w:hAnsi="仿宋_GB2312" w:cs="仿宋_GB2312" w:eastAsia="仿宋_GB2312"/>
                      <w:sz w:val="21"/>
                    </w:rPr>
                    <w:t>(1)若涂层厚度、环保指标等关键项不达标，需无条件返工，并承担返工费用及工期延误责任(每延误1 天扣合同价1%)。</w:t>
                  </w:r>
                </w:p>
                <w:p>
                  <w:pPr>
                    <w:pStyle w:val="null3"/>
                    <w:ind w:firstLine="210"/>
                    <w:jc w:val="both"/>
                  </w:pPr>
                  <w:r>
                    <w:rPr>
                      <w:rFonts w:ascii="仿宋_GB2312" w:hAnsi="仿宋_GB2312" w:cs="仿宋_GB2312" w:eastAsia="仿宋_GB2312"/>
                      <w:sz w:val="21"/>
                    </w:rPr>
                    <w:t>(2)质保期内出现大面积脱落(单房间脱落面积&gt;10%)或甲醛 超标，施工单位需免费重新施工，若因此造成学生健康损害，需承担</w:t>
                  </w:r>
                </w:p>
                <w:p>
                  <w:pPr>
                    <w:pStyle w:val="null3"/>
                    <w:ind w:firstLine="210"/>
                    <w:jc w:val="both"/>
                  </w:pPr>
                  <w:r>
                    <w:rPr>
                      <w:rFonts w:ascii="仿宋_GB2312" w:hAnsi="仿宋_GB2312" w:cs="仿宋_GB2312" w:eastAsia="仿宋_GB2312"/>
                      <w:sz w:val="21"/>
                    </w:rPr>
                    <w:t>法律责任。</w:t>
                  </w:r>
                </w:p>
                <w:p>
                  <w:pPr>
                    <w:pStyle w:val="null3"/>
                    <w:ind w:firstLine="210"/>
                    <w:jc w:val="both"/>
                  </w:pPr>
                  <w:r>
                    <w:rPr>
                      <w:rFonts w:ascii="仿宋_GB2312" w:hAnsi="仿宋_GB2312" w:cs="仿宋_GB2312" w:eastAsia="仿宋_GB2312"/>
                      <w:sz w:val="21"/>
                    </w:rPr>
                    <w:t>(3)采购人有权委托第三方检测机构对工程质量进行抽检，若不合格项超过3处，检测费用由施工单位承担。</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编制说明：</w:t>
                  </w:r>
                </w:p>
                <w:p>
                  <w:pPr>
                    <w:pStyle w:val="null3"/>
                    <w:ind w:firstLine="422"/>
                    <w:jc w:val="both"/>
                  </w:pPr>
                  <w:r>
                    <w:rPr>
                      <w:rFonts w:ascii="仿宋_GB2312" w:hAnsi="仿宋_GB2312" w:cs="仿宋_GB2312" w:eastAsia="仿宋_GB2312"/>
                      <w:sz w:val="21"/>
                      <w:b/>
                    </w:rPr>
                    <w:t>（一）、编制依据</w:t>
                  </w:r>
                </w:p>
                <w:p>
                  <w:pPr>
                    <w:pStyle w:val="null3"/>
                    <w:ind w:firstLine="420"/>
                    <w:jc w:val="both"/>
                  </w:pPr>
                  <w:r>
                    <w:rPr>
                      <w:rFonts w:ascii="仿宋_GB2312" w:hAnsi="仿宋_GB2312" w:cs="仿宋_GB2312" w:eastAsia="仿宋_GB2312"/>
                      <w:sz w:val="21"/>
                    </w:rPr>
                    <w:t>1．《陕西省建设工程工程量清单计价标准2025》；</w:t>
                  </w:r>
                </w:p>
                <w:p>
                  <w:pPr>
                    <w:pStyle w:val="null3"/>
                    <w:ind w:firstLine="420"/>
                    <w:jc w:val="both"/>
                  </w:pPr>
                  <w:r>
                    <w:rPr>
                      <w:rFonts w:ascii="仿宋_GB2312" w:hAnsi="仿宋_GB2312" w:cs="仿宋_GB2312" w:eastAsia="仿宋_GB2312"/>
                      <w:sz w:val="21"/>
                    </w:rPr>
                    <w:t>2．《陕西省建设工程费用规则（2025）》；</w:t>
                  </w:r>
                </w:p>
                <w:p>
                  <w:pPr>
                    <w:pStyle w:val="null3"/>
                    <w:ind w:firstLine="420"/>
                    <w:jc w:val="both"/>
                  </w:pPr>
                  <w:r>
                    <w:rPr>
                      <w:rFonts w:ascii="仿宋_GB2312" w:hAnsi="仿宋_GB2312" w:cs="仿宋_GB2312" w:eastAsia="仿宋_GB2312"/>
                      <w:sz w:val="21"/>
                    </w:rPr>
                    <w:t>3．《陕西省房屋建筑与装饰工程工程量计算标准（2025）》、《陕西省通用安装工程工程量计算标准（2025）》、《陕西省市政工程工程量计算标准（2025）》、《陕西省园林绿化工程工程量计算标准（2025）》；</w:t>
                  </w:r>
                </w:p>
                <w:p>
                  <w:pPr>
                    <w:pStyle w:val="null3"/>
                    <w:ind w:firstLine="420"/>
                    <w:jc w:val="both"/>
                  </w:pPr>
                  <w:r>
                    <w:rPr>
                      <w:rFonts w:ascii="仿宋_GB2312" w:hAnsi="仿宋_GB2312" w:cs="仿宋_GB2312" w:eastAsia="仿宋_GB2312"/>
                      <w:sz w:val="21"/>
                    </w:rPr>
                    <w:t>4．《陕西省房屋建筑与装饰工程消耗量定额（2025）》、《陕西省通用安装工程消耗量定额（2025）》、《陕西省市政工程消耗量定额（2025）》、《陕西省园林绿化工程消耗量定额（2025）》；</w:t>
                  </w:r>
                </w:p>
                <w:p>
                  <w:pPr>
                    <w:pStyle w:val="null3"/>
                    <w:ind w:firstLine="420"/>
                    <w:jc w:val="both"/>
                  </w:pPr>
                  <w:r>
                    <w:rPr>
                      <w:rFonts w:ascii="仿宋_GB2312" w:hAnsi="仿宋_GB2312" w:cs="仿宋_GB2312" w:eastAsia="仿宋_GB2312"/>
                      <w:sz w:val="21"/>
                    </w:rPr>
                    <w:t>5．《陕西省房屋建筑与装饰工程基价表（2025）》、《陕西省通用安装工程基价表（2025）》、《陕西省市政工程基价表（2025）》、《陕西省园林绿化工程基价表（2025）》；</w:t>
                  </w:r>
                </w:p>
                <w:p>
                  <w:pPr>
                    <w:pStyle w:val="null3"/>
                    <w:ind w:firstLine="420"/>
                    <w:jc w:val="both"/>
                  </w:pPr>
                  <w:r>
                    <w:rPr>
                      <w:rFonts w:ascii="仿宋_GB2312" w:hAnsi="仿宋_GB2312" w:cs="仿宋_GB2312" w:eastAsia="仿宋_GB2312"/>
                      <w:sz w:val="21"/>
                    </w:rPr>
                    <w:t>6．《陕西省建设工程施工机械台班费用定额》（2025）、《陕西省建设工程施工仪器仪表台班费用定额》（2025）；</w:t>
                  </w:r>
                </w:p>
                <w:p>
                  <w:pPr>
                    <w:pStyle w:val="null3"/>
                    <w:ind w:firstLine="420"/>
                    <w:jc w:val="both"/>
                  </w:pPr>
                  <w:r>
                    <w:rPr>
                      <w:rFonts w:ascii="仿宋_GB2312" w:hAnsi="仿宋_GB2312" w:cs="仿宋_GB2312" w:eastAsia="仿宋_GB2312"/>
                      <w:sz w:val="21"/>
                    </w:rPr>
                    <w:t>7．招标文件及招标工程量清单、拟定的合同条款及答疑纪要；</w:t>
                  </w:r>
                </w:p>
                <w:p>
                  <w:pPr>
                    <w:pStyle w:val="null3"/>
                    <w:ind w:firstLine="420"/>
                    <w:jc w:val="both"/>
                  </w:pPr>
                  <w:r>
                    <w:rPr>
                      <w:rFonts w:ascii="仿宋_GB2312" w:hAnsi="仿宋_GB2312" w:cs="仿宋_GB2312" w:eastAsia="仿宋_GB2312"/>
                      <w:sz w:val="21"/>
                    </w:rPr>
                    <w:t>8．与建设工程项目有关的标准、规范、技术资料；</w:t>
                  </w:r>
                </w:p>
                <w:p>
                  <w:pPr>
                    <w:pStyle w:val="null3"/>
                    <w:ind w:firstLine="420"/>
                    <w:jc w:val="both"/>
                  </w:pPr>
                  <w:r>
                    <w:rPr>
                      <w:rFonts w:ascii="仿宋_GB2312" w:hAnsi="仿宋_GB2312" w:cs="仿宋_GB2312" w:eastAsia="仿宋_GB2312"/>
                      <w:sz w:val="21"/>
                    </w:rPr>
                    <w:t>9．施工现场情况、地勘水文资料、工程特点及施工方案、合理工期；</w:t>
                  </w:r>
                </w:p>
                <w:p>
                  <w:pPr>
                    <w:pStyle w:val="null3"/>
                    <w:ind w:firstLine="420"/>
                    <w:jc w:val="both"/>
                  </w:pPr>
                  <w:r>
                    <w:rPr>
                      <w:rFonts w:ascii="仿宋_GB2312" w:hAnsi="仿宋_GB2312" w:cs="仿宋_GB2312" w:eastAsia="仿宋_GB2312"/>
                      <w:sz w:val="21"/>
                    </w:rPr>
                    <w:t>10．材料价格依据《陕西省工程造价信息》2026年第二期材料信息价、市场价；</w:t>
                  </w:r>
                </w:p>
                <w:p>
                  <w:pPr>
                    <w:pStyle w:val="null3"/>
                    <w:ind w:firstLine="420"/>
                    <w:jc w:val="both"/>
                  </w:pPr>
                  <w:r>
                    <w:rPr>
                      <w:rFonts w:ascii="仿宋_GB2312" w:hAnsi="仿宋_GB2312" w:cs="仿宋_GB2312" w:eastAsia="仿宋_GB2312"/>
                      <w:sz w:val="21"/>
                    </w:rPr>
                    <w:t>11．工程量清单计价软件使用“广联达云计价平台GCCP7.5000.23.2”。</w:t>
                  </w:r>
                </w:p>
                <w:p>
                  <w:pPr>
                    <w:pStyle w:val="null3"/>
                    <w:ind w:firstLine="420"/>
                    <w:jc w:val="both"/>
                  </w:pPr>
                  <w:r>
                    <w:rPr>
                      <w:rFonts w:ascii="仿宋_GB2312" w:hAnsi="仿宋_GB2312" w:cs="仿宋_GB2312" w:eastAsia="仿宋_GB2312"/>
                      <w:sz w:val="21"/>
                    </w:rPr>
                    <w:t>12.墙/顶面铲除灰皮暂定量：500m²,铲除墙纸暂定量：500m²，墙面乳胶漆暂定量：37371 m²; 顶棚乳胶漆暂定量：1000m²; 宿舍架子床搬移并恢复暂定量：603 间；外墙乳胶漆暂定量：300m²。</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、商务要求（实质性要求，不允许负偏离）：</w:t>
                  </w:r>
                </w:p>
                <w:p>
                  <w:pPr>
                    <w:pStyle w:val="null3"/>
                    <w:ind w:firstLine="422"/>
                  </w:pPr>
                  <w:r>
                    <w:rPr>
                      <w:rFonts w:ascii="仿宋_GB2312" w:hAnsi="仿宋_GB2312" w:cs="仿宋_GB2312" w:eastAsia="仿宋_GB2312"/>
                      <w:sz w:val="21"/>
                      <w:b/>
                    </w:rPr>
                    <w:t>1.工期：30日历天。</w:t>
                  </w:r>
                </w:p>
                <w:p>
                  <w:pPr>
                    <w:pStyle w:val="null3"/>
                    <w:ind w:firstLine="422"/>
                  </w:pPr>
                  <w:r>
                    <w:rPr>
                      <w:rFonts w:ascii="仿宋_GB2312" w:hAnsi="仿宋_GB2312" w:cs="仿宋_GB2312" w:eastAsia="仿宋_GB2312"/>
                      <w:sz w:val="21"/>
                      <w:b/>
                    </w:rPr>
                    <w:t>2.施工地点：陕西中医药大学南校区。</w:t>
                  </w:r>
                </w:p>
                <w:p>
                  <w:pPr>
                    <w:pStyle w:val="null3"/>
                    <w:ind w:firstLine="422"/>
                  </w:pPr>
                  <w:r>
                    <w:rPr>
                      <w:rFonts w:ascii="仿宋_GB2312" w:hAnsi="仿宋_GB2312" w:cs="仿宋_GB2312" w:eastAsia="仿宋_GB2312"/>
                      <w:sz w:val="21"/>
                      <w:b/>
                    </w:rPr>
                    <w:t>3</w:t>
                  </w:r>
                  <w:r>
                    <w:rPr>
                      <w:rFonts w:ascii="仿宋_GB2312" w:hAnsi="仿宋_GB2312" w:cs="仿宋_GB2312" w:eastAsia="仿宋_GB2312"/>
                      <w:sz w:val="21"/>
                      <w:b/>
                    </w:rPr>
                    <w:t>.质保期</w:t>
                  </w:r>
                  <w:r>
                    <w:rPr>
                      <w:rFonts w:ascii="仿宋_GB2312" w:hAnsi="仿宋_GB2312" w:cs="仿宋_GB2312" w:eastAsia="仿宋_GB2312"/>
                      <w:sz w:val="21"/>
                    </w:rPr>
                    <w:t>：</w:t>
                  </w:r>
                  <w:r>
                    <w:rPr>
                      <w:rFonts w:ascii="仿宋_GB2312" w:hAnsi="仿宋_GB2312" w:cs="仿宋_GB2312" w:eastAsia="仿宋_GB2312"/>
                      <w:sz w:val="21"/>
                      <w:b/>
                    </w:rPr>
                    <w:t>2年。</w:t>
                  </w:r>
                </w:p>
                <w:p>
                  <w:pPr>
                    <w:pStyle w:val="null3"/>
                    <w:ind w:firstLine="422"/>
                  </w:pPr>
                  <w:r>
                    <w:rPr>
                      <w:rFonts w:ascii="仿宋_GB2312" w:hAnsi="仿宋_GB2312" w:cs="仿宋_GB2312" w:eastAsia="仿宋_GB2312"/>
                      <w:sz w:val="21"/>
                      <w:b/>
                    </w:rPr>
                    <w:t>4</w:t>
                  </w:r>
                  <w:r>
                    <w:rPr>
                      <w:rFonts w:ascii="仿宋_GB2312" w:hAnsi="仿宋_GB2312" w:cs="仿宋_GB2312" w:eastAsia="仿宋_GB2312"/>
                      <w:sz w:val="21"/>
                      <w:b/>
                    </w:rPr>
                    <w:t>.付款方式：</w:t>
                  </w:r>
                </w:p>
                <w:p>
                  <w:pPr>
                    <w:pStyle w:val="null3"/>
                    <w:ind w:firstLine="482"/>
                    <w:jc w:val="both"/>
                  </w:pPr>
                  <w:r>
                    <w:rPr>
                      <w:rFonts w:ascii="仿宋_GB2312" w:hAnsi="仿宋_GB2312" w:cs="仿宋_GB2312" w:eastAsia="仿宋_GB2312"/>
                      <w:sz w:val="21"/>
                      <w:u w:val="single"/>
                    </w:rPr>
                    <w:t>工程竣工并经甲方验收合格，甲方审计结束后，</w:t>
                  </w:r>
                  <w:r>
                    <w:rPr>
                      <w:rFonts w:ascii="仿宋_GB2312" w:hAnsi="仿宋_GB2312" w:cs="仿宋_GB2312" w:eastAsia="仿宋_GB2312"/>
                      <w:sz w:val="21"/>
                      <w:u w:val="single"/>
                    </w:rPr>
                    <w:t>依据审计结果，由乙方开具并向甲方提供全额发票，并提供审计总价</w:t>
                  </w:r>
                  <w:r>
                    <w:rPr>
                      <w:rFonts w:ascii="仿宋_GB2312" w:hAnsi="仿宋_GB2312" w:cs="仿宋_GB2312" w:eastAsia="仿宋_GB2312"/>
                      <w:sz w:val="21"/>
                      <w:u w:val="single"/>
                    </w:rPr>
                    <w:t>3%的质量保函后，甲方转账支付，支付审计总价的100%。质保期到后退还质量保函。</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质量标准符合本项目采购清单要求、建筑装饰装修工程质量验收规范和国家、陕西省、西安市现行工程质量验评标准。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1、本工程为交钥匙工程，为清单报价，最终工程量按照实际发生量计取。 2、报价汇总表中的价格必须是完成本项目的所有费用的报价；工程量清单中的全费用综合单价包括但不限于所需的人工费、材料费、运杂费（含装卸、搬运、损耗、二次运输及多次倒运费用）、施工机械使用费、保管费、检测与试验费、安装及调试费、各种措施费（含安全文明措施费）、劳保统筹基金、各类保险、管理费、利润、规费、各项税费、施工车辆校内通行费、垃圾清运费、用水用电费、验收、质保及保修服务、风险、责任和义务等所有费用。 3、供应商填报工程量清单报价时，对采购人提供的工程量清单数据及内容、表格格式均不得改动，如有改动，工程结算时采购人有权按有利于采购人的方式进行结算。 4、磋商报价应是包含劳保统筹基金的含税工程造价。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1、纸质响应文件递交： （1）供应商需要在线提交所有通过电子化交易平台实施的政府采购项目的响应文件，同时，线下提交纸质响应文件正本壹份、副本贰份、电子版壹份（U盘壹份）。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响应文件，仅接受顺丰速运（联系人：杭琨、联系电话：029-81206622-825）。 2、保证金的退还：自成交通知书发出之日起5个工作日内退还未成交供应商的投标保证金,自采购合同签订之日起5个工作日内退还成交供应商的投标保证金。 3、采购人应按照采购文件和中标人投标文件，在中标通知书发出之日起25日内签订合同。 4、现场踏勘：本项目供应商自行踏勘现场。（联系人：张泽华、联系电话号码：13571015555） （1）供应商因自身原因未按时进行现场踏勘，而导致的任何风险，由供应商自行承担。 （2）凡因对现场环境、市场行情等了解不清而造成的后果和风险，由供应商自行承担。 （3）踏勘相关费用及安全由供应商自行承担。 （4）请确认踏勘的供应商在踏勘前将公司名称、踏勘联系人、联系电话编辑文字发送至邮箱710070685@qq.com。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提供2025年5月至今已缴存的至少一个月的依法缴纳税款的相关凭据（时间以税款所属日期为准），凭据应有税务机关或代收机关的公章或业务专用章。依法免税或无须缴纳税款的供应商，应提供相应证明文件。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参加本次政府采购活动前三年内在经营活动中没有重大违法记录，以及未被列入“信用中国”失信被执行人、重大税收违法失信主体、未列入政府采购严重违法失信行为记录名单的书面声明。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供应商须具备建筑工程施工总承包三级及以上资质或建筑装修装饰工程专业承包二级及以上资质；且具备合法有效的安全生产许可证。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拟派项目经理须具备建筑工程专业二级及以上注册建造师资格和安全生产考核合格证，且无其他在建项目（提供无在建工程的承诺函）。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供应商及其拟派项目经理相关信息须在“陕西省住房和城乡建设厅”官方网站可查询。</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响应文件的初步审查</w:t>
            </w:r>
          </w:p>
        </w:tc>
        <w:tc>
          <w:tcPr>
            <w:tcW w:type="dxa" w:w="3322"/>
          </w:tcPr>
          <w:p>
            <w:pPr>
              <w:pStyle w:val="null3"/>
            </w:pPr>
            <w:r>
              <w:rPr>
                <w:rFonts w:ascii="仿宋_GB2312" w:hAnsi="仿宋_GB2312" w:cs="仿宋_GB2312" w:eastAsia="仿宋_GB2312"/>
              </w:rPr>
              <w:t>磋商小组应当对供应商提交的响应文件进行初步审查，包括响应文件的有效性、完整性、符合性。除可变动的技术、服务要求以及合同草案条款外，首次提交的响应文件有不符合下列情况的，其响应文件无效。 (1) 供应商名称与营业执照、资质证书一致； (2) 响应文件按磋商文件要求的数量、计量单位、报价货币及签字盖章； (3) 响应文件的有效期达到磋商文件要求； (4) 响应文件中主要材料技术指标无负偏离的； (5) 符合法律、法规和磋商文件中规定的其他实质性要求； (6) 已标价工程量清单的扉页（仅指投标总价扉页）由注册或登记在本单位的造价人员签字并盖执业印章； (7) 保证金交纳符合磋商文件要求。</w:t>
            </w:r>
          </w:p>
        </w:tc>
        <w:tc>
          <w:tcPr>
            <w:tcW w:type="dxa" w:w="1661"/>
          </w:tcPr>
          <w:p>
            <w:pPr>
              <w:pStyle w:val="null3"/>
            </w:pPr>
            <w:r>
              <w:rPr>
                <w:rFonts w:ascii="仿宋_GB2312" w:hAnsi="仿宋_GB2312" w:cs="仿宋_GB2312" w:eastAsia="仿宋_GB2312"/>
              </w:rPr>
              <w:t>响应方案说明.docx 已标价工程量清单 中小企业声明函 技术服务合同条款及其他商务要求应答表 供应商应提交的相关资格证明材料 保证金交纳凭证保函.docx 供应商承诺书.docx 强制优先采购产品承诺函 主要材料清单.docx 响应文件封面 项目管理机构组成表 残疾人福利性单位声明函 供应商类似项目业绩一览表 供应商资格证明文件.docx 响应报价表.docx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详细评审30.00分</w:t>
            </w:r>
          </w:p>
          <w:p>
            <w:pPr>
              <w:pStyle w:val="null3"/>
            </w:pPr>
            <w:r>
              <w:rPr>
                <w:rFonts w:ascii="仿宋_GB2312" w:hAnsi="仿宋_GB2312" w:cs="仿宋_GB2312" w:eastAsia="仿宋_GB2312"/>
              </w:rPr>
              <w:t>报价得分70.00分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针对本项目列出的工程质量的技术组织措施的合理性、可行性等因素进行自主评分； 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针对本项目情况列出具体安全措施，明确相应的安全管理措施的合理性、可行性等因素进行自主评分； 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针对本项目列出的文明施工的技术措施及环境保护措施的合理性、可行性等因素进行自主评分； 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针对本项目列出的确保工期的技术组织措施的合理性、可行性等因素进行自主评分； 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针对本项目列出的施工方案施工方案的合理性、可行性等因素进行自主评分； 整体适宜性和综合效果：投保单位提供的施工方案先进，产品工艺及质量标准优异，与采购单位的需求定位契合度高。 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针对本项目列出的施工进度表或施工网络图的合理性、可行性等因素进行自主评分； 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针对本项目列出的劳动力安排计划的合理性、可行性等因素进行自主评分； 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施工机械配备和材料投入计划进行自主评分； 投标建筑材料、设备材料及主要部件耐用性好，型号、产地明确，备品配件供应有保障且货源渠道正规。满分3分，内容存在一处缺陷扣1分，扣完为止。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主要材料清单.docx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根据本项目实际需求提供售后服务方案。内容包含：①售后服务范围及保障措施②响应时间③故障处理及补救措施。 满分3分，内容存在一处缺陷扣1分，扣完为止。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提供供应商2023年1月1日至响应截止时间（以合同签订时间为准）类似业绩证明材料，每提供1份得1分，最高得3分。 评审依据：以加盖公章的业绩合同复印件为准，合同至少需包含合同首页、中间页、签章页。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70.0000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（1）根据《政府采购促进中小企业发展管理办法》的通知--财库〔2020〕46号的相关规定，对小型和微型企业的价格给予3%的扣除，用扣除后的价格参与评审。 （2）根据《财政部民政部中国残疾人联合会关于促进残疾人就业政府采购政策的通知》（财库〔2017〕141号）的规定，对符合条件的残疾人福利性单位设备的价格给予3%的扣除，用扣除后的价格参与评审。 小型、微型企业和监狱企业及符合财政部、民政部、中国残疾人联合会关于促进残疾人就业政府采购政策的通知，以上政策同时具备的仅对其进行一次3%的价格扣除，不重复扣除。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详见附件：主要材料清单.docx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