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版本号：ZCHZCG-2026-010.1B120260611001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汉中市南郑区高台镇农村地区散煤综合治理项目(二次)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ZCHZCG-2026-010.1B1</w:t>
      </w:r>
      <w:r>
        <w:br/>
      </w:r>
      <w:r>
        <w:br/>
      </w:r>
      <w:r>
        <w:br/>
      </w:r>
    </w:p>
    <w:p>
      <w:pPr>
        <w:pStyle w:val="null3"/>
        <w:jc w:val="center"/>
        <w:outlineLvl w:val="2"/>
      </w:pPr>
      <w:r>
        <w:rPr>
          <w:rFonts w:ascii="仿宋_GB2312" w:hAnsi="仿宋_GB2312" w:cs="仿宋_GB2312" w:eastAsia="仿宋_GB2312"/>
          <w:sz w:val="28"/>
          <w:b/>
        </w:rPr>
        <w:t>汉中市南郑区高台镇人民政府</w:t>
      </w:r>
    </w:p>
    <w:p>
      <w:pPr>
        <w:pStyle w:val="null3"/>
        <w:jc w:val="center"/>
        <w:outlineLvl w:val="2"/>
      </w:pPr>
      <w:r>
        <w:rPr>
          <w:rFonts w:ascii="仿宋_GB2312" w:hAnsi="仿宋_GB2312" w:cs="仿宋_GB2312" w:eastAsia="仿宋_GB2312"/>
          <w:sz w:val="28"/>
          <w:b/>
        </w:rPr>
        <w:t>正昌国际项目管理有限公司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正昌国际项目管理有限公司</w:t>
      </w:r>
      <w:r>
        <w:rPr>
          <w:rFonts w:ascii="仿宋_GB2312" w:hAnsi="仿宋_GB2312" w:cs="仿宋_GB2312" w:eastAsia="仿宋_GB2312"/>
        </w:rPr>
        <w:t>（以下简称“代理机构”）受</w:t>
      </w:r>
      <w:r>
        <w:rPr>
          <w:rFonts w:ascii="仿宋_GB2312" w:hAnsi="仿宋_GB2312" w:cs="仿宋_GB2312" w:eastAsia="仿宋_GB2312"/>
        </w:rPr>
        <w:t>汉中市南郑区高台镇人民政府</w:t>
      </w:r>
      <w:r>
        <w:rPr>
          <w:rFonts w:ascii="仿宋_GB2312" w:hAnsi="仿宋_GB2312" w:cs="仿宋_GB2312" w:eastAsia="仿宋_GB2312"/>
        </w:rPr>
        <w:t>委托，拟对</w:t>
      </w:r>
      <w:r>
        <w:rPr>
          <w:rFonts w:ascii="仿宋_GB2312" w:hAnsi="仿宋_GB2312" w:cs="仿宋_GB2312" w:eastAsia="仿宋_GB2312"/>
        </w:rPr>
        <w:t>汉中市南郑区高台镇农村地区散煤综合治理项目(二次)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ZCHZCG-2026-010.1B1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汉中市南郑区高台镇农村地区散煤综合治理项目(二次)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采购250台壁挂炉。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采购包1（汉中市南郑区高台镇农村地区散煤综合治理项目）：属于专门面向中小企业采购。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基本资格要求：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p>
      <w:pPr>
        <w:pStyle w:val="null3"/>
      </w:pPr>
      <w:r>
        <w:rPr>
          <w:rFonts w:ascii="仿宋_GB2312" w:hAnsi="仿宋_GB2312" w:cs="仿宋_GB2312" w:eastAsia="仿宋_GB2312"/>
        </w:rPr>
        <w:t>2、法定代表人或授权代表人身份证明：法定代表人授权书（附法定代表人身份证）及被授权人身份证复印件（法定代表人直接参加磋商的只须提供法定代表人身份证）。</w:t>
      </w:r>
    </w:p>
    <w:p>
      <w:pPr>
        <w:pStyle w:val="null3"/>
      </w:pPr>
      <w:r>
        <w:rPr>
          <w:rFonts w:ascii="仿宋_GB2312" w:hAnsi="仿宋_GB2312" w:cs="仿宋_GB2312" w:eastAsia="仿宋_GB2312"/>
        </w:rPr>
        <w:t>3、供应商资格承诺函：供应商应按照汉中市财政局《关于全面推行政府采购供应商基本资格条件承诺制的通知》（汉财办采管〔2024〕20号）文件要求，提供资格承诺函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汉中市南郑区高台镇人民政府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高台镇高台街19号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汉中市南郑区高台镇人民政府经办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17719710319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正昌国际项目管理有限公司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汉中市过街楼村南一环路 202 号（汉台区检察院斜对面巷内）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17762169361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开户名称：正昌国际项目管理有限公司汉中分公司</w:t>
            </w:r>
          </w:p>
          <w:p>
            <w:pPr>
              <w:pStyle w:val="null3"/>
            </w:pPr>
            <w:r>
              <w:rPr>
                <w:rFonts w:ascii="仿宋_GB2312" w:hAnsi="仿宋_GB2312" w:cs="仿宋_GB2312" w:eastAsia="仿宋_GB2312"/>
              </w:rPr>
              <w:t>开户银行：中国工商银行股份有限公司汉中南环路支行</w:t>
            </w:r>
          </w:p>
          <w:p>
            <w:pPr>
              <w:pStyle w:val="null3"/>
            </w:pPr>
            <w:r>
              <w:rPr>
                <w:rFonts w:ascii="仿宋_GB2312" w:hAnsi="仿宋_GB2312" w:cs="仿宋_GB2312" w:eastAsia="仿宋_GB2312"/>
              </w:rPr>
              <w:t>银行账号：2606021609200076314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考国家计委关于印发招标代理服务收费管理暂行办法的通知》（计价格〔2002〕1980号）和国家发改委办公厅《关于招标代理服务收费有关问题的通知》（发改办价格〔2003〕857号）文件规定标准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汉中市南郑区高台镇人民政府</w:t>
      </w:r>
      <w:r>
        <w:rPr>
          <w:rFonts w:ascii="仿宋_GB2312" w:hAnsi="仿宋_GB2312" w:cs="仿宋_GB2312" w:eastAsia="仿宋_GB2312"/>
        </w:rPr>
        <w:t>和</w:t>
      </w:r>
      <w:r>
        <w:rPr>
          <w:rFonts w:ascii="仿宋_GB2312" w:hAnsi="仿宋_GB2312" w:cs="仿宋_GB2312" w:eastAsia="仿宋_GB2312"/>
        </w:rPr>
        <w:t>正昌国际项目管理有限公司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汉中市南郑区高台镇人民政府</w:t>
      </w:r>
      <w:r>
        <w:rPr>
          <w:rFonts w:ascii="仿宋_GB2312" w:hAnsi="仿宋_GB2312" w:cs="仿宋_GB2312" w:eastAsia="仿宋_GB2312"/>
        </w:rPr>
        <w:t>负责解释。除上述招标文件内容，其他内容由</w:t>
      </w:r>
      <w:r>
        <w:rPr>
          <w:rFonts w:ascii="仿宋_GB2312" w:hAnsi="仿宋_GB2312" w:cs="仿宋_GB2312" w:eastAsia="仿宋_GB2312"/>
        </w:rPr>
        <w:t>正昌国际项目管理有限公司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汉中市南郑区高台镇人民政府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正昌国际项目管理有限公司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供应商所供应的货物质量合格，满足国家有关质量规范要求，并满足采购文件要求的性能参数，全部安装完成，并能正常使用。</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正昌国际项目管理有限公司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联系人：吴先生</w:t>
      </w:r>
    </w:p>
    <w:p>
      <w:pPr>
        <w:pStyle w:val="null3"/>
      </w:pPr>
      <w:r>
        <w:rPr>
          <w:rFonts w:ascii="仿宋_GB2312" w:hAnsi="仿宋_GB2312" w:cs="仿宋_GB2312" w:eastAsia="仿宋_GB2312"/>
        </w:rPr>
        <w:t>联系电话：17762169361</w:t>
      </w:r>
    </w:p>
    <w:p>
      <w:pPr>
        <w:pStyle w:val="null3"/>
      </w:pPr>
      <w:r>
        <w:rPr>
          <w:rFonts w:ascii="仿宋_GB2312" w:hAnsi="仿宋_GB2312" w:cs="仿宋_GB2312" w:eastAsia="仿宋_GB2312"/>
        </w:rPr>
        <w:t>地址：汉中市过街楼村南一环路 202 号（汉台区检察院斜对面巷内）</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采购250台燃气壁挂炉。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汉中市南郑区高台镇农村地区散煤综合治理项目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标的名称：汉中市南郑区高台镇农村地区散煤综合治理项目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（壁挂炉）采暖额定最大热负荷</w:t>
            </w:r>
            <w:r>
              <w:rPr>
                <w:rFonts w:ascii="仿宋_GB2312" w:hAnsi="仿宋_GB2312" w:cs="仿宋_GB2312" w:eastAsia="仿宋_GB2312"/>
                <w:sz w:val="22"/>
              </w:rPr>
              <w:t>≥24.0KW</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采暖额定最大热输出</w:t>
            </w:r>
            <w:r>
              <w:rPr>
                <w:rFonts w:ascii="仿宋_GB2312" w:hAnsi="仿宋_GB2312" w:cs="仿宋_GB2312" w:eastAsia="仿宋_GB2312"/>
                <w:sz w:val="22"/>
              </w:rPr>
              <w:t>≥23.0KW</w:t>
            </w:r>
          </w:p>
        </w:tc>
      </w:tr>
      <w:tr>
        <w:tc>
          <w:tcPr>
            <w:tcW w:type="dxa" w:w="2769"/>
          </w:tcPr>
          <w:p>
            <w:pPr>
              <w:pStyle w:val="null3"/>
            </w:pPr>
            <w:r>
              <w:rPr>
                <w:rFonts w:ascii="仿宋_GB2312" w:hAnsi="仿宋_GB2312" w:cs="仿宋_GB2312" w:eastAsia="仿宋_GB2312"/>
              </w:rPr>
              <w:t>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生活热水额定热负荷</w:t>
            </w:r>
            <w:r>
              <w:rPr>
                <w:rFonts w:ascii="仿宋_GB2312" w:hAnsi="仿宋_GB2312" w:cs="仿宋_GB2312" w:eastAsia="仿宋_GB2312"/>
                <w:sz w:val="22"/>
              </w:rPr>
              <w:t>≥24.0KW</w:t>
            </w:r>
          </w:p>
        </w:tc>
      </w:tr>
      <w:tr>
        <w:tc>
          <w:tcPr>
            <w:tcW w:type="dxa" w:w="2769"/>
          </w:tcPr>
          <w:p>
            <w:pPr>
              <w:pStyle w:val="null3"/>
            </w:pPr>
            <w:r>
              <w:rPr>
                <w:rFonts w:ascii="仿宋_GB2312" w:hAnsi="仿宋_GB2312" w:cs="仿宋_GB2312" w:eastAsia="仿宋_GB2312"/>
              </w:rPr>
              <w:t>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采暖额定最小热输出</w:t>
            </w:r>
            <w:r>
              <w:rPr>
                <w:rFonts w:ascii="仿宋_GB2312" w:hAnsi="仿宋_GB2312" w:cs="仿宋_GB2312" w:eastAsia="仿宋_GB2312"/>
                <w:sz w:val="22"/>
              </w:rPr>
              <w:t>≥6.0KW</w:t>
            </w:r>
          </w:p>
        </w:tc>
      </w:tr>
      <w:tr>
        <w:tc>
          <w:tcPr>
            <w:tcW w:type="dxa" w:w="2769"/>
          </w:tcPr>
          <w:p>
            <w:pPr>
              <w:pStyle w:val="null3"/>
            </w:pPr>
            <w:r>
              <w:rPr>
                <w:rFonts w:ascii="仿宋_GB2312" w:hAnsi="仿宋_GB2312" w:cs="仿宋_GB2312" w:eastAsia="仿宋_GB2312"/>
              </w:rPr>
              <w:t>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生活热水额定最小热输出</w:t>
            </w:r>
            <w:r>
              <w:rPr>
                <w:rFonts w:ascii="仿宋_GB2312" w:hAnsi="仿宋_GB2312" w:cs="仿宋_GB2312" w:eastAsia="仿宋_GB2312"/>
                <w:sz w:val="22"/>
              </w:rPr>
              <w:t>≥3.0KW</w:t>
            </w:r>
          </w:p>
        </w:tc>
      </w:tr>
      <w:tr>
        <w:tc>
          <w:tcPr>
            <w:tcW w:type="dxa" w:w="2769"/>
          </w:tcPr>
          <w:p>
            <w:pPr>
              <w:pStyle w:val="null3"/>
            </w:pPr>
            <w:r>
              <w:rPr>
                <w:rFonts w:ascii="仿宋_GB2312" w:hAnsi="仿宋_GB2312" w:cs="仿宋_GB2312" w:eastAsia="仿宋_GB2312"/>
              </w:rPr>
              <w:t>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点火功率</w:t>
            </w:r>
            <w:r>
              <w:rPr>
                <w:rFonts w:ascii="仿宋_GB2312" w:hAnsi="仿宋_GB2312" w:cs="仿宋_GB2312" w:eastAsia="仿宋_GB2312"/>
                <w:sz w:val="22"/>
              </w:rPr>
              <w:t>≤16.0KW</w:t>
            </w:r>
          </w:p>
        </w:tc>
      </w:tr>
      <w:tr>
        <w:tc>
          <w:tcPr>
            <w:tcW w:type="dxa" w:w="2769"/>
          </w:tcPr>
          <w:p>
            <w:pPr>
              <w:pStyle w:val="null3"/>
            </w:pPr>
            <w:r>
              <w:rPr>
                <w:rFonts w:ascii="仿宋_GB2312" w:hAnsi="仿宋_GB2312" w:cs="仿宋_GB2312" w:eastAsia="仿宋_GB2312"/>
              </w:rPr>
              <w:t>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热效率额定输入功率时</w:t>
            </w:r>
            <w:r>
              <w:rPr>
                <w:rFonts w:ascii="仿宋_GB2312" w:hAnsi="仿宋_GB2312" w:cs="仿宋_GB2312" w:eastAsia="仿宋_GB2312"/>
                <w:sz w:val="22"/>
              </w:rPr>
              <w:t>≥89%</w:t>
            </w:r>
          </w:p>
        </w:tc>
      </w:tr>
      <w:tr>
        <w:tc>
          <w:tcPr>
            <w:tcW w:type="dxa" w:w="2769"/>
          </w:tcPr>
          <w:p>
            <w:pPr>
              <w:pStyle w:val="null3"/>
            </w:pPr>
            <w:r>
              <w:rPr>
                <w:rFonts w:ascii="仿宋_GB2312" w:hAnsi="仿宋_GB2312" w:cs="仿宋_GB2312" w:eastAsia="仿宋_GB2312"/>
              </w:rPr>
              <w:t>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最高采暖温度</w:t>
            </w:r>
            <w:r>
              <w:rPr>
                <w:rFonts w:ascii="仿宋_GB2312" w:hAnsi="仿宋_GB2312" w:cs="仿宋_GB2312" w:eastAsia="仿宋_GB2312"/>
                <w:sz w:val="22"/>
              </w:rPr>
              <w:t>℃：80</w:t>
            </w:r>
            <w:r>
              <w:rPr>
                <w:rFonts w:ascii="仿宋_GB2312" w:hAnsi="仿宋_GB2312" w:cs="仿宋_GB2312" w:eastAsia="仿宋_GB2312"/>
                <w:sz w:val="22"/>
              </w:rPr>
              <w:t>℃以上至</w:t>
            </w:r>
            <w:r>
              <w:rPr>
                <w:rFonts w:ascii="仿宋_GB2312" w:hAnsi="仿宋_GB2312" w:cs="仿宋_GB2312" w:eastAsia="仿宋_GB2312"/>
                <w:sz w:val="22"/>
              </w:rPr>
              <w:t>85</w:t>
            </w:r>
            <w:r>
              <w:rPr>
                <w:rFonts w:ascii="仿宋_GB2312" w:hAnsi="仿宋_GB2312" w:cs="仿宋_GB2312" w:eastAsia="仿宋_GB2312"/>
                <w:sz w:val="22"/>
              </w:rPr>
              <w:t>℃以下。</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生活热水最小流量</w:t>
            </w:r>
            <w:r>
              <w:rPr>
                <w:rFonts w:ascii="仿宋_GB2312" w:hAnsi="仿宋_GB2312" w:cs="仿宋_GB2312" w:eastAsia="仿宋_GB2312"/>
                <w:sz w:val="22"/>
              </w:rPr>
              <w:t>Kg/min≥3</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2"/>
              </w:rPr>
              <w:t>耗气量（天然气</w:t>
            </w:r>
            <w:r>
              <w:rPr>
                <w:rFonts w:ascii="仿宋_GB2312" w:hAnsi="仿宋_GB2312" w:cs="仿宋_GB2312" w:eastAsia="仿宋_GB2312"/>
                <w:sz w:val="22"/>
              </w:rPr>
              <w:t>12T）</w:t>
            </w:r>
            <w:r>
              <w:rPr>
                <w:rFonts w:ascii="仿宋_GB2312" w:hAnsi="仿宋_GB2312" w:cs="仿宋_GB2312" w:eastAsia="仿宋_GB2312"/>
                <w:sz w:val="22"/>
              </w:rPr>
              <w:t>m³</w:t>
            </w:r>
            <w:r>
              <w:rPr>
                <w:rFonts w:ascii="仿宋_GB2312" w:hAnsi="仿宋_GB2312" w:cs="仿宋_GB2312" w:eastAsia="仿宋_GB2312"/>
                <w:sz w:val="22"/>
              </w:rPr>
              <w:t>/h：≤2.9m³/h</w:t>
            </w:r>
          </w:p>
        </w:tc>
      </w:tr>
      <w:tr>
        <w:tc>
          <w:tcPr>
            <w:tcW w:type="dxa" w:w="2769"/>
          </w:tcPr>
          <w:p>
            <w:pPr>
              <w:pStyle w:val="null3"/>
            </w:pPr>
            <w:r>
              <w:rPr>
                <w:rFonts w:ascii="仿宋_GB2312" w:hAnsi="仿宋_GB2312" w:cs="仿宋_GB2312" w:eastAsia="仿宋_GB2312"/>
              </w:rPr>
              <w:t>11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变频/定频：变频</w:t>
            </w:r>
          </w:p>
        </w:tc>
      </w:tr>
      <w:tr>
        <w:tc>
          <w:tcPr>
            <w:tcW w:type="dxa" w:w="2769"/>
          </w:tcPr>
          <w:p>
            <w:pPr>
              <w:pStyle w:val="null3"/>
            </w:pPr>
            <w:r>
              <w:rPr>
                <w:rFonts w:ascii="仿宋_GB2312" w:hAnsi="仿宋_GB2312" w:cs="仿宋_GB2312" w:eastAsia="仿宋_GB2312"/>
              </w:rPr>
              <w:t>12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噪声：室内机噪声≤</w:t>
            </w:r>
            <w:r>
              <w:rPr>
                <w:rFonts w:ascii="仿宋_GB2312" w:hAnsi="仿宋_GB2312" w:cs="仿宋_GB2312" w:eastAsia="仿宋_GB2312"/>
                <w:sz w:val="21"/>
              </w:rPr>
              <w:t>60</w:t>
            </w:r>
            <w:r>
              <w:rPr>
                <w:rFonts w:ascii="仿宋_GB2312" w:hAnsi="仿宋_GB2312" w:cs="仿宋_GB2312" w:eastAsia="仿宋_GB2312"/>
                <w:sz w:val="21"/>
              </w:rPr>
              <w:t>db</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外壳防护等级</w:t>
            </w:r>
            <w:r>
              <w:rPr>
                <w:rFonts w:ascii="仿宋_GB2312" w:hAnsi="仿宋_GB2312" w:cs="仿宋_GB2312" w:eastAsia="仿宋_GB2312"/>
                <w:sz w:val="21"/>
              </w:rPr>
              <w:t>：</w:t>
            </w:r>
            <w:r>
              <w:rPr>
                <w:rFonts w:ascii="仿宋_GB2312" w:hAnsi="仿宋_GB2312" w:cs="仿宋_GB2312" w:eastAsia="仿宋_GB2312"/>
                <w:sz w:val="21"/>
              </w:rPr>
              <w:t>≥</w:t>
            </w:r>
            <w:r>
              <w:rPr>
                <w:rFonts w:ascii="仿宋_GB2312" w:hAnsi="仿宋_GB2312" w:cs="仿宋_GB2312" w:eastAsia="仿宋_GB2312"/>
                <w:sz w:val="21"/>
              </w:rPr>
              <w:t>IPX4</w:t>
            </w:r>
          </w:p>
        </w:tc>
      </w:tr>
      <w:tr>
        <w:tc>
          <w:tcPr>
            <w:tcW w:type="dxa" w:w="2769"/>
          </w:tcPr>
          <w:p>
            <w:pPr>
              <w:pStyle w:val="null3"/>
            </w:pPr>
            <w:r>
              <w:rPr>
                <w:rFonts w:ascii="仿宋_GB2312" w:hAnsi="仿宋_GB2312" w:cs="仿宋_GB2312" w:eastAsia="仿宋_GB2312"/>
              </w:rPr>
              <w:t>14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电击防护等级：一类</w:t>
            </w:r>
          </w:p>
        </w:tc>
      </w:tr>
      <w:tr>
        <w:tc>
          <w:tcPr>
            <w:tcW w:type="dxa" w:w="2769"/>
          </w:tcPr>
          <w:p>
            <w:pPr>
              <w:pStyle w:val="null3"/>
            </w:pPr>
            <w:r>
              <w:rPr>
                <w:rFonts w:ascii="仿宋_GB2312" w:hAnsi="仿宋_GB2312" w:cs="仿宋_GB2312" w:eastAsia="仿宋_GB2312"/>
              </w:rPr>
              <w:t>15</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连接管：铜管</w:t>
            </w:r>
          </w:p>
        </w:tc>
      </w:tr>
      <w:tr>
        <w:tc>
          <w:tcPr>
            <w:tcW w:type="dxa" w:w="2769"/>
          </w:tcPr>
          <w:p>
            <w:pPr>
              <w:pStyle w:val="null3"/>
            </w:pPr>
            <w:r>
              <w:rPr>
                <w:rFonts w:ascii="仿宋_GB2312" w:hAnsi="仿宋_GB2312" w:cs="仿宋_GB2312" w:eastAsia="仿宋_GB2312"/>
              </w:rPr>
              <w:t>16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所投产品需提供</w:t>
            </w:r>
            <w:r>
              <w:rPr>
                <w:rFonts w:ascii="仿宋_GB2312" w:hAnsi="仿宋_GB2312" w:cs="仿宋_GB2312" w:eastAsia="仿宋_GB2312"/>
                <w:sz w:val="21"/>
              </w:rPr>
              <w:t>第三方检测机构出具的</w:t>
            </w:r>
            <w:r>
              <w:rPr>
                <w:rFonts w:ascii="仿宋_GB2312" w:hAnsi="仿宋_GB2312" w:cs="仿宋_GB2312" w:eastAsia="仿宋_GB2312"/>
                <w:sz w:val="21"/>
              </w:rPr>
              <w:t>能效检测报告，需达到</w:t>
            </w:r>
            <w:r>
              <w:rPr>
                <w:rFonts w:ascii="仿宋_GB2312" w:hAnsi="仿宋_GB2312" w:cs="仿宋_GB2312" w:eastAsia="仿宋_GB2312"/>
                <w:sz w:val="21"/>
              </w:rPr>
              <w:t>2</w:t>
            </w:r>
            <w:r>
              <w:rPr>
                <w:rFonts w:ascii="仿宋_GB2312" w:hAnsi="仿宋_GB2312" w:cs="仿宋_GB2312" w:eastAsia="仿宋_GB2312"/>
                <w:sz w:val="21"/>
              </w:rPr>
              <w:t>级能效。</w:t>
            </w:r>
          </w:p>
        </w:tc>
      </w:tr>
      <w:tr>
        <w:tc>
          <w:tcPr>
            <w:tcW w:type="dxa" w:w="2769"/>
          </w:tcPr>
          <w:p>
            <w:pPr>
              <w:pStyle w:val="null3"/>
            </w:pPr>
            <w:r>
              <w:rPr>
                <w:rFonts w:ascii="仿宋_GB2312" w:hAnsi="仿宋_GB2312" w:cs="仿宋_GB2312" w:eastAsia="仿宋_GB2312"/>
              </w:rPr>
              <w:t>17</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2"/>
              </w:rPr>
              <w:t>（壁挂炉）</w:t>
            </w:r>
            <w:r>
              <w:rPr>
                <w:rFonts w:ascii="仿宋_GB2312" w:hAnsi="仿宋_GB2312" w:cs="仿宋_GB2312" w:eastAsia="仿宋_GB2312"/>
                <w:sz w:val="21"/>
              </w:rPr>
              <w:t>强制认证：标的物须具有《中国国家强制性产品认证证书》（3C强制认证）；同时提供提供第三方检测机构出具的产品</w:t>
            </w:r>
            <w:r>
              <w:rPr>
                <w:rFonts w:ascii="仿宋_GB2312" w:hAnsi="仿宋_GB2312" w:cs="仿宋_GB2312" w:eastAsia="仿宋_GB2312"/>
                <w:sz w:val="21"/>
              </w:rPr>
              <w:t>检测报告</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18</w:t>
            </w:r>
          </w:p>
        </w:tc>
        <w:tc>
          <w:tcPr>
            <w:tcW w:type="dxa" w:w="2769"/>
          </w:tcPr>
          <w:p/>
        </w:tc>
        <w:tc>
          <w:tcPr>
            <w:tcW w:type="dxa" w:w="2769"/>
          </w:tcPr>
          <w:p>
            <w:pPr>
              <w:pStyle w:val="null3"/>
            </w:pPr>
            <w:r>
              <w:rPr>
                <w:rFonts w:ascii="仿宋_GB2312" w:hAnsi="仿宋_GB2312" w:cs="仿宋_GB2312" w:eastAsia="仿宋_GB2312"/>
                <w:sz w:val="21"/>
              </w:rPr>
              <w:t>以下参数为配套设施散热器参数：</w:t>
            </w:r>
          </w:p>
          <w:p>
            <w:pPr>
              <w:pStyle w:val="null3"/>
            </w:pPr>
            <w:r>
              <w:rPr>
                <w:rFonts w:ascii="仿宋_GB2312" w:hAnsi="仿宋_GB2312" w:cs="仿宋_GB2312" w:eastAsia="仿宋_GB2312"/>
                <w:sz w:val="21"/>
              </w:rPr>
              <w:t>★高度：≥600㎜</w:t>
            </w:r>
          </w:p>
          <w:p>
            <w:pPr>
              <w:pStyle w:val="null3"/>
            </w:pPr>
            <w:r>
              <w:rPr>
                <w:rFonts w:ascii="仿宋_GB2312" w:hAnsi="仿宋_GB2312" w:cs="仿宋_GB2312" w:eastAsia="仿宋_GB2312"/>
                <w:sz w:val="21"/>
              </w:rPr>
              <w:t>★进出水口中心距：≥600㎜</w:t>
            </w:r>
            <w:r>
              <w:br/>
            </w:r>
            <w:r>
              <w:rPr>
                <w:rFonts w:ascii="仿宋_GB2312" w:hAnsi="仿宋_GB2312" w:cs="仿宋_GB2312" w:eastAsia="仿宋_GB2312"/>
                <w:sz w:val="21"/>
              </w:rPr>
              <w:t xml:space="preserve"> ▲材质：钢制</w:t>
            </w:r>
          </w:p>
          <w:p>
            <w:pPr>
              <w:pStyle w:val="null3"/>
            </w:pPr>
            <w:r>
              <w:rPr>
                <w:rFonts w:ascii="仿宋_GB2312" w:hAnsi="仿宋_GB2312" w:cs="仿宋_GB2312" w:eastAsia="仿宋_GB2312"/>
                <w:sz w:val="21"/>
              </w:rPr>
              <w:t>▲散热量：当△T=44.5工况下单柱散热量Q≥70W</w:t>
            </w:r>
            <w:r>
              <w:br/>
            </w:r>
            <w:r>
              <w:rPr>
                <w:rFonts w:ascii="仿宋_GB2312" w:hAnsi="仿宋_GB2312" w:cs="仿宋_GB2312" w:eastAsia="仿宋_GB2312"/>
                <w:sz w:val="21"/>
              </w:rPr>
              <w:t xml:space="preserve"> ★需提供第三方检测机构出具的产品检测报告。</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合同签订后150日历天内完成交货。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 xml:space="preserve"> 付款条件说明： </w:t>
      </w:r>
      <w:r>
        <w:rPr>
          <w:rFonts w:ascii="仿宋_GB2312" w:hAnsi="仿宋_GB2312" w:cs="仿宋_GB2312" w:eastAsia="仿宋_GB2312"/>
        </w:rPr>
        <w:t xml:space="preserve">供货安装进度达到50%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2、</w:t>
      </w:r>
      <w:r>
        <w:rPr>
          <w:rFonts w:ascii="仿宋_GB2312" w:hAnsi="仿宋_GB2312" w:cs="仿宋_GB2312" w:eastAsia="仿宋_GB2312"/>
        </w:rPr>
        <w:t xml:space="preserve"> 付款条件说明： </w:t>
      </w:r>
      <w:r>
        <w:rPr>
          <w:rFonts w:ascii="仿宋_GB2312" w:hAnsi="仿宋_GB2312" w:cs="仿宋_GB2312" w:eastAsia="仿宋_GB2312"/>
        </w:rPr>
        <w:t xml:space="preserve">供货及安装进度达到80% </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30.00</w:t>
      </w:r>
      <w:r>
        <w:rPr>
          <w:rFonts w:ascii="仿宋_GB2312" w:hAnsi="仿宋_GB2312" w:cs="仿宋_GB2312" w:eastAsia="仿宋_GB2312"/>
        </w:rPr>
        <w:t>%。</w:t>
      </w:r>
    </w:p>
    <w:p>
      <w:pPr>
        <w:pStyle w:val="null3"/>
        <w:ind w:firstLine="1200"/>
      </w:pPr>
      <w:r>
        <w:rPr>
          <w:rFonts w:ascii="仿宋_GB2312" w:hAnsi="仿宋_GB2312" w:cs="仿宋_GB2312" w:eastAsia="仿宋_GB2312"/>
        </w:rPr>
        <w:t>3、</w:t>
      </w:r>
      <w:r>
        <w:rPr>
          <w:rFonts w:ascii="仿宋_GB2312" w:hAnsi="仿宋_GB2312" w:cs="仿宋_GB2312" w:eastAsia="仿宋_GB2312"/>
        </w:rPr>
        <w:t xml:space="preserve"> 付款条件说明： </w:t>
      </w:r>
      <w:r>
        <w:rPr>
          <w:rFonts w:ascii="仿宋_GB2312" w:hAnsi="仿宋_GB2312" w:cs="仿宋_GB2312" w:eastAsia="仿宋_GB2312"/>
        </w:rPr>
        <w:t>供货安装完成，通过采购人验收</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 支付合同总金额的</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严格按照《财政部关于进一步加强政府采购需求和履约验收管理的指导意见》(财库〔2016〕205号)、《政府采购需求管理办法》〔财库（2021）22号〕等国家及行业相关要求和精神及本项目招标文件及本合同的要求进行验收。如出现未在招标文件中明确规定的，以国家或行业相关标准为准。如采购双方如对质量要求和技术指标的约定标准有相互抵触或异议的事项，由采购人在招标文件与投标文件中按质量要求和技术指标、行业标准比较优胜的原则确定该项的约定标准进行验收。如出现争议，在场验收人员无法确定的，委托第三方质检机构进行检测，检测费用由中标人垫付，最终验收标准以检测结果为准，如检测合格由采购人承担检测费用，如检测不合格由中标人承担。验收的主要依据如下:①国家相关的法律法规；②国家或行业相关标准规范；③本项目招标文件、投标文件；④项目合同及其附件；⑤其他相关文件资料。</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整机质保≥2年，保修期≥5年。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（1）采购人违约责任 ①采购人无正当理由拒绝验收的的，采购人应偿付合同总价百分之三的违约金； ②采购人逾期支付合同资金的，除应及时付足外，应向供应商偿付欠款总额万分之三/天的违约金；逾期付款超过30天的，供应商有权终止合同； ③采购人偿付的违约金不足以弥补供应商损失的，还应按供应商损失尚未弥补的部分，支付赔偿金给供应商。 （2）供应商违约责任 ①供应商交付的服务不符合合同规定的，供应商应向采购人支付合同总价的百分之三的违约金，并须在合同规定的履约时间内交付满足要求的成果要求给采购人，否则，视作供应商不能履约而违约，按本条本款下述第“②”项规定由供应商偿付违约赔偿金给采购人。 ②供应商不能按时履约或逾期履约而违约的，除应及时履约外，应向采购人偿付合同总额的万分之三/天的违约金；逾期履约超过10天，采购人有权终止合同，供应商则应按合同总价的百分之三的款额向采购人偿付赔偿金，并须全额退还采购人已经付给供应商的合同金额及其利息。 ③供应商偿付的违约金不足以弥补采购人损失的，还应按采购人损失尚未弥补的部分，支付赔偿金给采购人。 （3）争议解决办法 ①因服务的质量问题发生争议，由监督部门或其指定的鉴定机构进行鉴定。服务符合标准的，鉴定费由采购人承担；服务不符合标准的，鉴定费由供应商承担。 ②合同履行期间,若双方发生争议，可协商或由有关部门调解解决，协商或调解不成的，由当事人依法向采购人住所地人民法院提起诉讼以维护其合法权益。</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供应商需对文件内所有实质性内容逐条响应，否则视为无效。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供应商基本资格要求</w:t>
            </w:r>
          </w:p>
        </w:tc>
        <w:tc>
          <w:tcPr>
            <w:tcW w:type="dxa" w:w="3322"/>
          </w:tcPr>
          <w:p>
            <w:pPr>
              <w:pStyle w:val="null3"/>
            </w:pPr>
            <w:r>
              <w:rPr>
                <w:rFonts w:ascii="仿宋_GB2312" w:hAnsi="仿宋_GB2312" w:cs="仿宋_GB2312" w:eastAsia="仿宋_GB2312"/>
              </w:rPr>
              <w:t>供应商应为合法注册的企业法人、事业法人、其他组织或自然人。企业法人应提供合法有效的标识有统一社会信用代码的营业执照；事业法人应提供事业单位法人证书；其他组织应提供合法登记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法定代表人或授权代表人身份证明</w:t>
            </w:r>
          </w:p>
        </w:tc>
        <w:tc>
          <w:tcPr>
            <w:tcW w:type="dxa" w:w="3322"/>
          </w:tcPr>
          <w:p>
            <w:pPr>
              <w:pStyle w:val="null3"/>
            </w:pPr>
            <w:r>
              <w:rPr>
                <w:rFonts w:ascii="仿宋_GB2312" w:hAnsi="仿宋_GB2312" w:cs="仿宋_GB2312" w:eastAsia="仿宋_GB2312"/>
              </w:rPr>
              <w:t>法定代表人授权书（附法定代表人身份证）及被授权人身份证复印件（法定代表人直接参加磋商的只须提供法定代表人身份证）。</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供应商资格承诺函</w:t>
            </w:r>
          </w:p>
        </w:tc>
        <w:tc>
          <w:tcPr>
            <w:tcW w:type="dxa" w:w="3322"/>
          </w:tcPr>
          <w:p>
            <w:pPr>
              <w:pStyle w:val="null3"/>
            </w:pPr>
            <w:r>
              <w:rPr>
                <w:rFonts w:ascii="仿宋_GB2312" w:hAnsi="仿宋_GB2312" w:cs="仿宋_GB2312" w:eastAsia="仿宋_GB2312"/>
              </w:rPr>
              <w:t>供应商应按照汉中市财政局《关于全面推行政府采购供应商基本资格条件承诺制的通知》（汉财办采管〔2024〕20号）文件要求，提供资格承诺函</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投标响应文件的签署、盖章</w:t>
            </w:r>
          </w:p>
        </w:tc>
        <w:tc>
          <w:tcPr>
            <w:tcW w:type="dxa" w:w="3322"/>
          </w:tcPr>
          <w:p>
            <w:pPr>
              <w:pStyle w:val="null3"/>
            </w:pPr>
            <w:r>
              <w:rPr>
                <w:rFonts w:ascii="仿宋_GB2312" w:hAnsi="仿宋_GB2312" w:cs="仿宋_GB2312" w:eastAsia="仿宋_GB2312"/>
              </w:rPr>
              <w:t>按照招标文件规定要求签署、盖章</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报价未超过招标文件中规定的采购预算价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核心产品技术参数响应性</w:t>
            </w:r>
          </w:p>
        </w:tc>
        <w:tc>
          <w:tcPr>
            <w:tcW w:type="dxa" w:w="3322"/>
          </w:tcPr>
          <w:p>
            <w:pPr>
              <w:pStyle w:val="null3"/>
            </w:pPr>
            <w:r>
              <w:rPr>
                <w:rFonts w:ascii="仿宋_GB2312" w:hAnsi="仿宋_GB2312" w:cs="仿宋_GB2312" w:eastAsia="仿宋_GB2312"/>
              </w:rPr>
              <w:t>技术参数与性能指标表中标注“★”的技术参数不允许负偏离，供应商应在响应文件提供能够证明该技术参数的证明材料（投标人应按要求提供彩页截图或技术白皮书或相关证明材料），有一项负偏离或无证明材料，视该供应商为无效响应。</w:t>
            </w:r>
          </w:p>
        </w:tc>
        <w:tc>
          <w:tcPr>
            <w:tcW w:type="dxa" w:w="1661"/>
          </w:tcPr>
          <w:p>
            <w:pPr>
              <w:pStyle w:val="null3"/>
            </w:pPr>
            <w:r>
              <w:rPr>
                <w:rFonts w:ascii="仿宋_GB2312" w:hAnsi="仿宋_GB2312" w:cs="仿宋_GB2312" w:eastAsia="仿宋_GB2312"/>
              </w:rPr>
              <w:t>产品技术参数表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供应商响应文件未出现违反招标文件实质性要求的情形</w:t>
            </w:r>
          </w:p>
        </w:tc>
        <w:tc>
          <w:tcPr>
            <w:tcW w:type="dxa" w:w="1661"/>
          </w:tcPr>
          <w:p>
            <w:pPr>
              <w:pStyle w:val="null3"/>
            </w:pPr>
            <w:r>
              <w:rPr>
                <w:rFonts w:ascii="仿宋_GB2312" w:hAnsi="仿宋_GB2312" w:cs="仿宋_GB2312" w:eastAsia="仿宋_GB2312"/>
              </w:rPr>
              <w:t>开标一览表 产品技术参数表 商务应答表 标的清单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投标响应文件无法律、规章、规范性文件和招标文件规定的其他无效情形</w:t>
            </w:r>
          </w:p>
        </w:tc>
        <w:tc>
          <w:tcPr>
            <w:tcW w:type="dxa" w:w="1661"/>
          </w:tcPr>
          <w:p>
            <w:pPr>
              <w:pStyle w:val="null3"/>
            </w:pPr>
            <w:r>
              <w:rPr>
                <w:rFonts w:ascii="仿宋_GB2312" w:hAnsi="仿宋_GB2312" w:cs="仿宋_GB2312" w:eastAsia="仿宋_GB2312"/>
              </w:rPr>
              <w:t>开标一览表 售后服务方案 货物来源渠道及佐证 中小企业声明函 商务应答表 投标人应提交的相关资格证明材料 产品技术参数表 投标函 残疾人福利性单位声明函 标的清单 投标文件封面 供应商类似项目业绩一览表 项目实施方案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投标产品技术响应情况</w:t>
            </w:r>
          </w:p>
        </w:tc>
        <w:tc>
          <w:tcPr>
            <w:tcW w:type="dxa" w:w="2492"/>
          </w:tcPr>
          <w:p>
            <w:pPr>
              <w:pStyle w:val="null3"/>
            </w:pPr>
            <w:r>
              <w:rPr>
                <w:rFonts w:ascii="仿宋_GB2312" w:hAnsi="仿宋_GB2312" w:cs="仿宋_GB2312" w:eastAsia="仿宋_GB2312"/>
              </w:rPr>
              <w:t>完全符合招标文件项目技术及其他要求没有负偏离得28分；标注“▲”条款（共14项）与招标文件有负偏离的，每一项负偏离扣2分。注：针对招标文件中的“★”、“▲”号条款技术参数，投标人应按要求提供彩页截图或技术白皮书或相关证明材料；以上所有资料加盖投标人公章。</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货物来源渠道及佐证</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评标委员会根据投标人针对本项目的项目实施方案进行综合评审，包含但不限于：①施工部署方案②施工技术保证措施③工程质量保证措施④工程安全文明施工保证措施⑤工程进度保证措施等。项目实施方案包含以上5项内容，方案完全满足项目要求得20分，每缺少一项内容的扣4分；每有一处不完整或存在缺陷的扣1分，扣完为止。 注：以上“缺陷”是指项目名称错误、内容与本项目需求无关、仅有框架或标题、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项目实施方案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评标委员会根据投标人针对本项目的售后服务方案进行综合评审，包含但不限于：①质保期承诺及响应时效；②售后服务内容；③培训方案；④售后维保措施；⑤应急保障措施；⑥人员配置方案等。投标人的售后服务方案包含上述6项内容方案完全满足项目要求得18分；每缺少一项内容的扣3分；每有一处不完整或存在缺陷的扣1分，扣完为止。 注：以上“缺陷”是指项目名称错误、内容与本项目需求无关、仅有框架或标题、明显复制其他项目内容、内容不完整或缺少关键点、非专门针对本项目或不适用本项目特性、科学原理或常识错误、涉及的规范及标准（方法）错误、地点区域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售后服务方案</w:t>
            </w:r>
          </w:p>
        </w:tc>
      </w:tr>
      <w:tr>
        <w:tc>
          <w:tcPr>
            <w:tcW w:type="dxa" w:w="831"/>
            <w:vMerge/>
          </w:tcP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供应商自2023年5月至今具有同类项目供货业绩（以签订合同时间为准），每提供一份合格业绩证明得2分，满分4分。 备注：须提供完整业绩合同及对应销售发票复印件，以上两种证明材料同时提供方可得分，否则不得分。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（1）评标基准价：即最低投标报价＝评标基准价，其价格分为30分。 （2）投标报价得分=评标基准价/投标报价×30。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详见附件：货物来源渠道及佐证</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详见附件：售后服务方案</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详见附件：合同模板（货物）.docx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