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3"/>
        <w:wordWrap/>
        <w:bidi w:val="0"/>
        <w:spacing w:line="300" w:lineRule="auto"/>
        <w:textAlignment w:val="auto"/>
        <w:rPr>
          <w:rFonts w:hint="eastAsia" w:ascii="仿宋" w:hAnsi="仿宋" w:eastAsia="仿宋" w:cs="仿宋"/>
          <w:highlight w:val="none"/>
        </w:rPr>
      </w:pPr>
      <w:r>
        <w:rPr>
          <w:rFonts w:hint="eastAsia" w:ascii="仿宋" w:hAnsi="仿宋" w:eastAsia="仿宋" w:cs="仿宋"/>
          <w:highlight w:val="none"/>
        </w:rPr>
        <w:t>供应商资格证明文件</w:t>
      </w:r>
    </w:p>
    <w:p w14:paraId="283EDF7A">
      <w:pPr>
        <w:wordWrap/>
        <w:bidi w:val="0"/>
        <w:spacing w:line="30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66CE4A65">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06FD9592">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w:t>
      </w:r>
      <w:bookmarkStart w:id="28" w:name="_GoBack"/>
      <w:bookmarkEnd w:id="28"/>
      <w:r>
        <w:rPr>
          <w:rFonts w:hint="eastAsia" w:ascii="仿宋" w:hAnsi="仿宋" w:eastAsia="仿宋" w:cs="仿宋"/>
          <w:sz w:val="24"/>
          <w:highlight w:val="none"/>
        </w:rPr>
        <w:t>报告需赋加“注册会计师行业统一监管平台”二维码并且可查询）</w:t>
      </w:r>
    </w:p>
    <w:p w14:paraId="592ED51C">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3、税收缴纳证明：提供已缴纳的2025年4月1日以来任意时间段的纳税证明或完税证明，纳税证明或完税证明上应有代收机构或税务机关的公章或业务专用章。依法免税的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应提供相关文件证明。</w:t>
      </w:r>
    </w:p>
    <w:p w14:paraId="64E69DBE">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4、社保缴纳证明：提供已缴存的2025年4月1日以来任意时间段的社会保障资金缴存单据或社保机构开具的社会保险参保缴费情况证明。成立时间至提交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截止时间不足一个月或依法不需要缴纳社会保障资金的</w:t>
      </w:r>
      <w:r>
        <w:rPr>
          <w:rFonts w:hint="eastAsia" w:ascii="仿宋" w:hAnsi="仿宋" w:eastAsia="仿宋" w:cs="仿宋"/>
          <w:sz w:val="24"/>
          <w:highlight w:val="none"/>
          <w:lang w:eastAsia="zh-CN"/>
        </w:rPr>
        <w:t>供应商</w:t>
      </w:r>
      <w:r>
        <w:rPr>
          <w:rFonts w:hint="eastAsia" w:ascii="仿宋" w:hAnsi="仿宋" w:eastAsia="仿宋" w:cs="仿宋"/>
          <w:sz w:val="24"/>
          <w:highlight w:val="none"/>
        </w:rPr>
        <w:t>应提供相关文件证明。</w:t>
      </w:r>
    </w:p>
    <w:p w14:paraId="556A3298">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5E13678E">
      <w:pPr>
        <w:wordWrap/>
        <w:bidi w:val="0"/>
        <w:spacing w:line="30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18C42301">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1CED06F9">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058F87C0">
      <w:pPr>
        <w:wordWrap/>
        <w:bidi w:val="0"/>
        <w:spacing w:line="30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p>
    <w:p w14:paraId="65E24D97">
      <w:pPr>
        <w:wordWrap/>
        <w:bidi w:val="0"/>
        <w:spacing w:line="300" w:lineRule="auto"/>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rPr>
        <w:t xml:space="preserve"> </w:t>
      </w:r>
    </w:p>
    <w:p w14:paraId="0D9D58CE">
      <w:pPr>
        <w:bidi w:val="0"/>
        <w:spacing w:line="300" w:lineRule="auto"/>
        <w:rPr>
          <w:rFonts w:hint="eastAsia" w:ascii="仿宋" w:hAnsi="仿宋" w:eastAsia="仿宋" w:cs="仿宋"/>
          <w:highlight w:val="none"/>
          <w:lang w:val="en-US" w:eastAsia="zh-CN"/>
        </w:rPr>
      </w:pPr>
    </w:p>
    <w:p w14:paraId="09BC16AE">
      <w:pPr>
        <w:bidi w:val="0"/>
        <w:spacing w:line="300" w:lineRule="auto"/>
        <w:rPr>
          <w:rFonts w:hint="eastAsia" w:ascii="仿宋" w:hAnsi="仿宋" w:eastAsia="仿宋" w:cs="仿宋"/>
          <w:highlight w:val="none"/>
        </w:rPr>
      </w:pPr>
    </w:p>
    <w:p w14:paraId="3DEB010F">
      <w:pPr>
        <w:pStyle w:val="4"/>
        <w:wordWrap/>
        <w:bidi w:val="0"/>
        <w:spacing w:line="300" w:lineRule="auto"/>
        <w:textAlignment w:val="auto"/>
        <w:rPr>
          <w:rFonts w:hint="eastAsia" w:ascii="仿宋" w:hAnsi="仿宋" w:eastAsia="仿宋" w:cs="仿宋"/>
          <w:highlight w:val="none"/>
          <w:lang w:val="en-US" w:eastAsia="zh-CN"/>
        </w:rPr>
      </w:pPr>
    </w:p>
    <w:p w14:paraId="5E2A3271">
      <w:pPr>
        <w:wordWrap/>
        <w:bidi w:val="0"/>
        <w:spacing w:line="30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5328C624">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6"/>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5"/>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22457"/>
      <w:bookmarkStart w:id="1" w:name="_Toc8624"/>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5"/>
        <w:bidi w:val="0"/>
        <w:spacing w:line="300" w:lineRule="auto"/>
        <w:jc w:val="center"/>
        <w:rPr>
          <w:rFonts w:hint="eastAsia" w:ascii="仿宋" w:hAnsi="仿宋" w:eastAsia="仿宋" w:cs="仿宋"/>
          <w:color w:val="auto"/>
          <w:sz w:val="24"/>
          <w:szCs w:val="24"/>
          <w:highlight w:val="none"/>
        </w:rPr>
      </w:pPr>
    </w:p>
    <w:p w14:paraId="5A16292B">
      <w:pPr>
        <w:pStyle w:val="5"/>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5"/>
        <w:bidi w:val="0"/>
        <w:spacing w:line="300" w:lineRule="auto"/>
        <w:jc w:val="center"/>
        <w:rPr>
          <w:rFonts w:hint="eastAsia" w:ascii="仿宋" w:hAnsi="仿宋" w:eastAsia="仿宋" w:cs="仿宋"/>
          <w:color w:val="auto"/>
          <w:sz w:val="24"/>
          <w:szCs w:val="24"/>
          <w:highlight w:val="none"/>
        </w:rPr>
      </w:pPr>
    </w:p>
    <w:p w14:paraId="2AF4BEA0">
      <w:pPr>
        <w:pStyle w:val="5"/>
        <w:bidi w:val="0"/>
        <w:spacing w:line="300" w:lineRule="auto"/>
        <w:jc w:val="center"/>
        <w:rPr>
          <w:rFonts w:hint="eastAsia" w:ascii="仿宋" w:hAnsi="仿宋" w:eastAsia="仿宋" w:cs="仿宋"/>
          <w:b/>
          <w:bCs/>
          <w:color w:val="auto"/>
          <w:sz w:val="24"/>
          <w:szCs w:val="24"/>
          <w:highlight w:val="none"/>
        </w:rPr>
      </w:pPr>
      <w:r>
        <w:rPr>
          <w:rFonts w:hint="eastAsia" w:ascii="仿宋" w:hAnsi="仿宋" w:eastAsia="仿宋" w:cs="仿宋"/>
          <w:b/>
          <w:bCs/>
          <w:sz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p>
    <w:p w14:paraId="79ABC52B">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5"/>
        <w:bidi w:val="0"/>
        <w:spacing w:line="300" w:lineRule="auto"/>
        <w:rPr>
          <w:rFonts w:hint="eastAsia" w:ascii="仿宋" w:hAnsi="仿宋" w:eastAsia="仿宋" w:cs="仿宋"/>
          <w:color w:val="auto"/>
          <w:highlight w:val="none"/>
        </w:rPr>
      </w:pPr>
    </w:p>
    <w:p w14:paraId="29412DC8">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00" w:lineRule="auto"/>
        <w:ind w:firstLine="480"/>
        <w:rPr>
          <w:rFonts w:hint="eastAsia" w:ascii="仿宋" w:hAnsi="仿宋" w:eastAsia="仿宋" w:cs="仿宋"/>
          <w:color w:val="auto"/>
          <w:kern w:val="0"/>
          <w:sz w:val="24"/>
          <w:highlight w:val="none"/>
        </w:rPr>
      </w:pPr>
    </w:p>
    <w:p w14:paraId="613CA4C0">
      <w:pPr>
        <w:bidi w:val="0"/>
        <w:spacing w:line="30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bidi w:val="0"/>
        <w:spacing w:line="300" w:lineRule="auto"/>
        <w:jc w:val="center"/>
        <w:outlineLvl w:val="2"/>
        <w:rPr>
          <w:rFonts w:hint="eastAsia" w:ascii="仿宋" w:hAnsi="仿宋" w:eastAsia="仿宋" w:cs="仿宋"/>
          <w:b/>
          <w:color w:val="auto"/>
          <w:sz w:val="28"/>
          <w:szCs w:val="28"/>
          <w:highlight w:val="none"/>
        </w:rPr>
      </w:pPr>
      <w:bookmarkStart w:id="7" w:name="_Toc24437"/>
      <w:bookmarkStart w:id="8" w:name="_Toc8139"/>
      <w:r>
        <w:rPr>
          <w:rFonts w:hint="eastAsia" w:ascii="仿宋" w:hAnsi="仿宋" w:eastAsia="仿宋" w:cs="仿宋"/>
          <w:b/>
          <w:color w:val="auto"/>
          <w:sz w:val="28"/>
          <w:szCs w:val="28"/>
          <w:highlight w:val="none"/>
        </w:rPr>
        <w:t>（四）社会保障资金缴纳证明</w:t>
      </w:r>
      <w:bookmarkEnd w:id="7"/>
      <w:bookmarkEnd w:id="8"/>
    </w:p>
    <w:p w14:paraId="71FE34F1">
      <w:pPr>
        <w:pStyle w:val="5"/>
        <w:bidi w:val="0"/>
        <w:spacing w:line="300" w:lineRule="auto"/>
        <w:jc w:val="center"/>
        <w:rPr>
          <w:rFonts w:hint="eastAsia" w:ascii="仿宋" w:hAnsi="仿宋" w:eastAsia="仿宋" w:cs="仿宋"/>
          <w:color w:val="auto"/>
          <w:sz w:val="24"/>
          <w:szCs w:val="24"/>
          <w:highlight w:val="none"/>
        </w:rPr>
      </w:pPr>
      <w:bookmarkStart w:id="9" w:name="_Toc8586"/>
    </w:p>
    <w:p w14:paraId="182F67BD">
      <w:pPr>
        <w:pStyle w:val="5"/>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16AE70E">
      <w:pPr>
        <w:bidi w:val="0"/>
        <w:spacing w:line="300" w:lineRule="auto"/>
        <w:rPr>
          <w:rFonts w:hint="eastAsia" w:ascii="仿宋" w:hAnsi="仿宋" w:eastAsia="仿宋" w:cs="仿宋"/>
          <w:color w:val="auto"/>
          <w:spacing w:val="4"/>
          <w:sz w:val="24"/>
          <w:szCs w:val="24"/>
          <w:highlight w:val="none"/>
        </w:rPr>
      </w:pPr>
    </w:p>
    <w:p w14:paraId="7CA28D9C">
      <w:pPr>
        <w:bidi w:val="0"/>
        <w:spacing w:line="30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0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0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1C217AE6">
      <w:pPr>
        <w:bidi w:val="0"/>
        <w:spacing w:line="300" w:lineRule="auto"/>
        <w:ind w:firstLine="3998" w:firstLineChars="166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41C374B1">
      <w:pPr>
        <w:bidi w:val="0"/>
        <w:spacing w:line="30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E1F0829">
      <w:pPr>
        <w:bidi w:val="0"/>
        <w:spacing w:line="30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00" w:lineRule="auto"/>
        <w:rPr>
          <w:rFonts w:hint="eastAsia" w:ascii="仿宋" w:hAnsi="仿宋" w:eastAsia="仿宋" w:cs="仿宋"/>
          <w:bCs/>
          <w:color w:val="auto"/>
          <w:sz w:val="24"/>
          <w:szCs w:val="24"/>
          <w:highlight w:val="none"/>
        </w:rPr>
      </w:pPr>
    </w:p>
    <w:p w14:paraId="6378A320">
      <w:pPr>
        <w:bidi w:val="0"/>
        <w:spacing w:line="300" w:lineRule="auto"/>
        <w:rPr>
          <w:rFonts w:hint="eastAsia" w:ascii="仿宋" w:hAnsi="仿宋" w:eastAsia="仿宋" w:cs="仿宋"/>
          <w:color w:val="auto"/>
          <w:highlight w:val="none"/>
        </w:rPr>
      </w:pPr>
      <w:bookmarkStart w:id="11" w:name="_Toc13657"/>
      <w:bookmarkStart w:id="12" w:name="_Toc19749"/>
      <w:bookmarkStart w:id="13" w:name="_Toc1093"/>
      <w:r>
        <w:rPr>
          <w:rFonts w:hint="eastAsia" w:ascii="仿宋" w:hAnsi="仿宋" w:eastAsia="仿宋" w:cs="仿宋"/>
          <w:color w:val="auto"/>
          <w:highlight w:val="none"/>
        </w:rPr>
        <w:br w:type="page"/>
      </w:r>
    </w:p>
    <w:p w14:paraId="39C73800">
      <w:pPr>
        <w:pStyle w:val="3"/>
        <w:bidi w:val="0"/>
        <w:spacing w:line="30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采购活动</w:t>
      </w:r>
      <w:r>
        <w:rPr>
          <w:rFonts w:hint="eastAsia" w:ascii="仿宋" w:hAnsi="仿宋" w:eastAsia="仿宋" w:cs="仿宋"/>
          <w:color w:val="auto"/>
          <w:highlight w:val="none"/>
        </w:rPr>
        <w:t>的书面声明</w:t>
      </w:r>
      <w:bookmarkEnd w:id="11"/>
      <w:bookmarkEnd w:id="12"/>
      <w:bookmarkEnd w:id="13"/>
    </w:p>
    <w:p w14:paraId="40620AF9">
      <w:pPr>
        <w:bidi w:val="0"/>
        <w:spacing w:line="30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D21728A">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 xml:space="preserve">（填“未被列入”或“被列入”）政府采购严重违法失信行为记录名单。 </w:t>
      </w:r>
    </w:p>
    <w:p w14:paraId="76F28E63">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03FCEB0A">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0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00" w:lineRule="auto"/>
        <w:ind w:firstLine="480" w:firstLineChars="200"/>
        <w:rPr>
          <w:rFonts w:hint="eastAsia" w:ascii="仿宋" w:hAnsi="仿宋" w:eastAsia="仿宋" w:cs="仿宋"/>
          <w:color w:val="auto"/>
          <w:sz w:val="24"/>
          <w:szCs w:val="24"/>
          <w:highlight w:val="none"/>
        </w:rPr>
      </w:pPr>
    </w:p>
    <w:p w14:paraId="76027F08">
      <w:pPr>
        <w:bidi w:val="0"/>
        <w:spacing w:line="30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0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4AABE49A">
      <w:pPr>
        <w:bidi w:val="0"/>
        <w:spacing w:line="30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0649B8B">
      <w:pPr>
        <w:bidi w:val="0"/>
        <w:spacing w:line="300" w:lineRule="auto"/>
        <w:rPr>
          <w:rFonts w:hint="eastAsia" w:ascii="仿宋" w:hAnsi="仿宋" w:eastAsia="仿宋" w:cs="仿宋"/>
          <w:b/>
          <w:color w:val="auto"/>
          <w:sz w:val="28"/>
          <w:szCs w:val="28"/>
          <w:highlight w:val="none"/>
          <w:lang w:val="en-US" w:eastAsia="zh-CN"/>
        </w:rPr>
      </w:pPr>
      <w:bookmarkStart w:id="14" w:name="_Toc22262"/>
      <w:bookmarkStart w:id="15" w:name="_Toc15006"/>
      <w:r>
        <w:rPr>
          <w:rFonts w:hint="eastAsia" w:ascii="仿宋" w:hAnsi="仿宋" w:eastAsia="仿宋" w:cs="仿宋"/>
          <w:b/>
          <w:color w:val="auto"/>
          <w:sz w:val="28"/>
          <w:szCs w:val="28"/>
          <w:highlight w:val="none"/>
          <w:lang w:val="en-US" w:eastAsia="zh-CN"/>
        </w:rPr>
        <w:br w:type="page"/>
      </w:r>
    </w:p>
    <w:p w14:paraId="694C2A84">
      <w:pPr>
        <w:pStyle w:val="3"/>
        <w:bidi w:val="0"/>
        <w:spacing w:line="30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bidi w:val="0"/>
        <w:adjustRightInd w:val="0"/>
        <w:snapToGrid w:val="0"/>
        <w:spacing w:line="300" w:lineRule="auto"/>
        <w:jc w:val="center"/>
        <w:rPr>
          <w:rFonts w:hint="eastAsia" w:ascii="仿宋" w:hAnsi="仿宋" w:eastAsia="仿宋" w:cs="仿宋"/>
          <w:b/>
          <w:color w:val="auto"/>
          <w:sz w:val="24"/>
          <w:szCs w:val="24"/>
          <w:highlight w:val="none"/>
        </w:rPr>
      </w:pPr>
      <w:bookmarkStart w:id="16" w:name="_Toc495681406"/>
      <w:bookmarkStart w:id="17" w:name="_Toc1610"/>
      <w:bookmarkStart w:id="18" w:name="_Toc495908048"/>
      <w:bookmarkStart w:id="19" w:name="_Toc495681252"/>
      <w:bookmarkStart w:id="20" w:name="_Toc495681533"/>
      <w:bookmarkStart w:id="21" w:name="_Toc495671263"/>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0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0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0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0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0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0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bidi w:val="0"/>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81534"/>
      <w:bookmarkStart w:id="23" w:name="_Toc495681407"/>
      <w:bookmarkStart w:id="24" w:name="_Toc495681253"/>
      <w:bookmarkStart w:id="25" w:name="_Toc18921"/>
      <w:bookmarkStart w:id="26" w:name="_Toc495908049"/>
      <w:bookmarkStart w:id="27" w:name="_Toc495671264"/>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0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0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0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0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0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5566BE5">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0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0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0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02B2D663">
      <w:pPr>
        <w:wordWrap/>
        <w:autoSpaceDE w:val="0"/>
        <w:autoSpaceDN w:val="0"/>
        <w:bidi w:val="0"/>
        <w:adjustRightInd w:val="0"/>
        <w:snapToGrid w:val="0"/>
        <w:spacing w:before="120" w:line="30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（八）特定资格：提供有效的《食品经营许可证》</w:t>
      </w:r>
    </w:p>
    <w:p w14:paraId="100AEE02">
      <w:pPr>
        <w:bidi w:val="0"/>
        <w:spacing w:line="300" w:lineRule="auto"/>
        <w:jc w:val="center"/>
        <w:rPr>
          <w:rFonts w:hint="eastAsia" w:ascii="仿宋" w:hAnsi="仿宋" w:eastAsia="仿宋" w:cs="仿宋"/>
          <w:highlight w:val="none"/>
          <w:lang w:val="en-US" w:eastAsia="zh-CN"/>
        </w:rPr>
      </w:pPr>
    </w:p>
    <w:p w14:paraId="3B93CDB5">
      <w:pPr>
        <w:bidi w:val="0"/>
        <w:spacing w:line="300" w:lineRule="auto"/>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扫描件或复印件加盖单位公章</w:t>
      </w:r>
    </w:p>
    <w:p w14:paraId="0CDBE346">
      <w:pPr>
        <w:bidi w:val="0"/>
        <w:spacing w:line="30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03B7A"/>
    <w:rsid w:val="0DC331A1"/>
    <w:rsid w:val="21145173"/>
    <w:rsid w:val="4DA05398"/>
    <w:rsid w:val="75546838"/>
    <w:rsid w:val="7E100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8">
    <w:name w:val="Default Paragraph Font"/>
    <w:autoRedefine/>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2 Char1"/>
    <w:basedOn w:val="8"/>
    <w:link w:val="2"/>
    <w:autoRedefine/>
    <w:qFormat/>
    <w:uiPriority w:val="9"/>
    <w:rPr>
      <w:rFonts w:ascii="楷体" w:hAnsi="楷体" w:eastAsia="仿宋" w:cs="Times New Roman"/>
      <w:b/>
      <w:sz w:val="24"/>
      <w:szCs w:val="32"/>
    </w:rPr>
  </w:style>
  <w:style w:type="character" w:customStyle="1" w:styleId="10">
    <w:name w:val="标题 2 字符"/>
    <w:link w:val="2"/>
    <w:qFormat/>
    <w:uiPriority w:val="0"/>
    <w:rPr>
      <w:rFonts w:ascii="仿宋" w:hAnsi="仿宋" w:eastAsia="仿宋" w:cs="仿宋"/>
      <w:b/>
      <w:bCs/>
      <w:color w:val="auto"/>
      <w:kern w:val="2"/>
      <w:sz w:val="24"/>
      <w:szCs w:val="24"/>
      <w:highlight w:val="no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2265</Words>
  <Characters>2289</Characters>
  <Lines>0</Lines>
  <Paragraphs>0</Paragraphs>
  <TotalTime>0</TotalTime>
  <ScaleCrop>false</ScaleCrop>
  <LinksUpToDate>false</LinksUpToDate>
  <CharactersWithSpaces>3006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陕西笃信招标有限公司</cp:lastModifiedBy>
  <dcterms:modified xsi:type="dcterms:W3CDTF">2026-05-12T02:06:41Z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932AFA55770F4159BF26978838799C85_13</vt:lpwstr>
  </property>
  <property fmtid="{D5CDD505-2E9C-101B-9397-08002B2CF9AE}" pid="4" name="KSOTemplateDocerSaveRecord">
    <vt:lpwstr>eyJoZGlkIjoiMTIzYjBkMDE0MDUwZWU1MDYzY2M0YTJiMmIyMWQyNDYiLCJ1c2VySWQiOiI5MTQ3Njg1NjkifQ==</vt:lpwstr>
  </property>
</Properties>
</file>