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版本号：SXHZ-2026-01620260625004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商洛市全民健身社区中央空调项目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SXHZ-2026-016</w:t>
      </w:r>
      <w:r>
        <w:br/>
      </w:r>
      <w:r>
        <w:br/>
      </w:r>
      <w:r>
        <w:br/>
      </w:r>
    </w:p>
    <w:p>
      <w:pPr>
        <w:pStyle w:val="null3"/>
        <w:jc w:val="center"/>
        <w:outlineLvl w:val="2"/>
      </w:pPr>
      <w:r>
        <w:rPr>
          <w:rFonts w:ascii="仿宋_GB2312" w:hAnsi="仿宋_GB2312" w:cs="仿宋_GB2312" w:eastAsia="仿宋_GB2312"/>
          <w:sz w:val="28"/>
          <w:b/>
        </w:rPr>
        <w:t>商洛市体育局</w:t>
      </w:r>
    </w:p>
    <w:p>
      <w:pPr>
        <w:pStyle w:val="null3"/>
        <w:jc w:val="center"/>
        <w:outlineLvl w:val="2"/>
      </w:pPr>
      <w:r>
        <w:rPr>
          <w:rFonts w:ascii="仿宋_GB2312" w:hAnsi="仿宋_GB2312" w:cs="仿宋_GB2312" w:eastAsia="仿宋_GB2312"/>
          <w:sz w:val="28"/>
          <w:b/>
        </w:rPr>
        <w:t>陕西华造项目管理咨询有限公司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陕西华造项目管理咨询有限公司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商洛市体育局</w:t>
      </w:r>
      <w:r>
        <w:rPr>
          <w:rFonts w:ascii="仿宋_GB2312" w:hAnsi="仿宋_GB2312" w:cs="仿宋_GB2312" w:eastAsia="仿宋_GB2312"/>
        </w:rPr>
        <w:t>委托，拟对</w:t>
      </w:r>
      <w:r>
        <w:rPr>
          <w:rFonts w:ascii="仿宋_GB2312" w:hAnsi="仿宋_GB2312" w:cs="仿宋_GB2312" w:eastAsia="仿宋_GB2312"/>
        </w:rPr>
        <w:t>商洛市全民健身社区中央空调项目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SXHZ-2026-016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商洛市全民健身社区中央空调项目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落实健康中国和全民健身国家战略，结合我市打造中国康养之都工作实际，按照市政府关于“建成市体育运动中心全民健身社区，打造商洛市人民体育公园”的安排，市体育局将市体育场东、南两侧看台下用房进行了提升改造，总面积4000平方米，建成市全民健身社区，改造包含运动健身、乒乓球、健身操舞、体质监测、体育康复训练等功能用房，商洛市全民健身社区中央空调项目，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采购包1（商洛市全民健身社区中央空调项目）：属于专门面向中小企业采购。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1、供应商资质：供应商具备合法有效的机电工程施工总承包三级及以上或建筑机电安装工程专业承包二级及以上资质，合法有效的安全生产许可证。</w:t>
      </w:r>
    </w:p>
    <w:p>
      <w:pPr>
        <w:pStyle w:val="null3"/>
      </w:pPr>
      <w:r>
        <w:rPr>
          <w:rFonts w:ascii="仿宋_GB2312" w:hAnsi="仿宋_GB2312" w:cs="仿宋_GB2312" w:eastAsia="仿宋_GB2312"/>
        </w:rPr>
        <w:t>2、拟派项目负责人 （注册建造师）：1.须为本单位注册的机电工程专业二级及以上建造师，并具有有效的安全生产考核合格B证，并完成电子签章。 2.未担任其他在建工程项目的项目经理，并完成电子签章。</w:t>
      </w:r>
    </w:p>
    <w:p>
      <w:pPr>
        <w:pStyle w:val="null3"/>
      </w:pPr>
      <w:r>
        <w:rPr>
          <w:rFonts w:ascii="仿宋_GB2312" w:hAnsi="仿宋_GB2312" w:cs="仿宋_GB2312" w:eastAsia="仿宋_GB2312"/>
        </w:rPr>
        <w:t>3、供应商应授权合法的人员参加磋商响应全过程：供应商法定代表人（负责人）直接参加磋商响应的须提供法定代表人(负责人)身份证明书，法定代表人(负责人)授权代表参加磋商响应的须提供法定代表人(负责人)授权委托书、被授权人身份证复印件。供应商须在项目电子化交易系统中提交资料，并完成电子签章。</w:t>
      </w:r>
    </w:p>
    <w:p>
      <w:pPr>
        <w:pStyle w:val="null3"/>
      </w:pPr>
      <w:r>
        <w:rPr>
          <w:rFonts w:ascii="仿宋_GB2312" w:hAnsi="仿宋_GB2312" w:cs="仿宋_GB2312" w:eastAsia="仿宋_GB2312"/>
        </w:rPr>
        <w:t>4、信用情况：供应商未被“信用中国” 网站（http://www.creditchina.gov.cn）列入重大税收违法案件当事人名单，未被“ 中国执行信息公开网”（ http://zxgk.court.gov.cn）网站被列为失信被执行人，未被“ 中国政府采购网”（h ttp://www.ccgp.gov.cn）列为政府采购严重违法失信行为记录名单、未被禁止参加政府采购活动。供应商须在项目电子化交易系统中提交在信用中国网站、中国执行信息公开网、中国政府采购网的信用记录查询截图，并完成电子签章。</w:t>
      </w:r>
    </w:p>
    <w:p>
      <w:pPr>
        <w:pStyle w:val="null3"/>
      </w:pPr>
      <w:r>
        <w:rPr>
          <w:rFonts w:ascii="仿宋_GB2312" w:hAnsi="仿宋_GB2312" w:cs="仿宋_GB2312" w:eastAsia="仿宋_GB2312"/>
        </w:rPr>
        <w:t>5、本项目不接受联合体：提供未联合体书面声明，并完成电子签章。</w:t>
      </w:r>
    </w:p>
    <w:p>
      <w:pPr>
        <w:pStyle w:val="null3"/>
      </w:pPr>
      <w:r>
        <w:rPr>
          <w:rFonts w:ascii="仿宋_GB2312" w:hAnsi="仿宋_GB2312" w:cs="仿宋_GB2312" w:eastAsia="仿宋_GB2312"/>
        </w:rPr>
        <w:t>6、关联关系说明：提供书面声明，单位负责人为同一人或者存在直接控股、 管理关系的不同供应商不得参加同一合同项下的政府采购活动，并完成电子签章。</w:t>
      </w:r>
    </w:p>
    <w:p>
      <w:pPr>
        <w:pStyle w:val="null3"/>
      </w:pPr>
      <w:r>
        <w:rPr>
          <w:rFonts w:ascii="仿宋_GB2312" w:hAnsi="仿宋_GB2312" w:cs="仿宋_GB2312" w:eastAsia="仿宋_GB2312"/>
        </w:rPr>
        <w:t>7、其他要求：1.供应商资质基本信息及项目负责人（注册建造师）信息应在“ 陕西建设网（http://js.shaanxi.gov.cn/ ）陕西省建筑市场监管与诚信信息发布平台”可查询； 以陕西省建筑市场监管与诚信信息平台信息截图为准，并完成电子签章。（截图包括企业资质信息、人员执业证书信息） 2.提供技术、服务、合同条款及其他商务要求应答表 3.提供强制、优先采购产品承诺函。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陕西省商洛市商州区丹南大道体育运动中心西区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商洛市体育局董老师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18091465996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陕西华造项目管理咨询有限公司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陕西省商洛市商州区陕西省商洛市商州区通信路与兴商街交叉口东20米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凤女士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0914-2315053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是</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开户名称：陕西华造项目管理咨询有限公司</w:t>
            </w:r>
          </w:p>
          <w:p>
            <w:pPr>
              <w:pStyle w:val="null3"/>
            </w:pPr>
            <w:r>
              <w:rPr>
                <w:rFonts w:ascii="仿宋_GB2312" w:hAnsi="仿宋_GB2312" w:cs="仿宋_GB2312" w:eastAsia="仿宋_GB2312"/>
              </w:rPr>
              <w:t>开户银行：中国工商银行股份有限公司商洛商州支行</w:t>
            </w:r>
          </w:p>
          <w:p>
            <w:pPr>
              <w:pStyle w:val="null3"/>
            </w:pPr>
            <w:r>
              <w:rPr>
                <w:rFonts w:ascii="仿宋_GB2312" w:hAnsi="仿宋_GB2312" w:cs="仿宋_GB2312" w:eastAsia="仿宋_GB2312"/>
              </w:rPr>
              <w:t>银行账号：2608 0703 1910 0128 562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由成交供应商支付代理服务费，代理服务费参照原《国家计委关于印发&lt;招标代理服务收费管理暂行办法&gt;的通知》（计价格〔2002〕1980号）、《国家发展和改革委员会办公厅关于招标代理服务收费有关问题的通知》（发改办价格〔2003〕857号）的规定标准执行，按差额定率累进法收取费用，100万以下按1.0%收取，100万-500万按0.7%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商洛市体育局</w:t>
      </w:r>
      <w:r>
        <w:rPr>
          <w:rFonts w:ascii="仿宋_GB2312" w:hAnsi="仿宋_GB2312" w:cs="仿宋_GB2312" w:eastAsia="仿宋_GB2312"/>
        </w:rPr>
        <w:t>和</w:t>
      </w:r>
      <w:r>
        <w:rPr>
          <w:rFonts w:ascii="仿宋_GB2312" w:hAnsi="仿宋_GB2312" w:cs="仿宋_GB2312" w:eastAsia="仿宋_GB2312"/>
        </w:rPr>
        <w:t>陕西华造项目管理咨询有限公司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陕西华造项目管理咨询有限公司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陕西华造项目管理咨询有限公司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严格按照采购文件和合同约定。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陕西华造项目管理咨询有限公司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陕西华造项目管理咨询有限公司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陕西华造项目管理咨询有限公司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联系人：凤女士</w:t>
      </w:r>
    </w:p>
    <w:p>
      <w:pPr>
        <w:pStyle w:val="null3"/>
      </w:pPr>
      <w:r>
        <w:rPr>
          <w:rFonts w:ascii="仿宋_GB2312" w:hAnsi="仿宋_GB2312" w:cs="仿宋_GB2312" w:eastAsia="仿宋_GB2312"/>
        </w:rPr>
        <w:t>联系电话：0914-2315053</w:t>
      </w:r>
    </w:p>
    <w:p>
      <w:pPr>
        <w:pStyle w:val="null3"/>
      </w:pPr>
      <w:r>
        <w:rPr>
          <w:rFonts w:ascii="仿宋_GB2312" w:hAnsi="仿宋_GB2312" w:cs="仿宋_GB2312" w:eastAsia="仿宋_GB2312"/>
        </w:rPr>
        <w:t>地址：陕西省商洛市商州区通信路与兴商街交叉口东20米</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1,140,000.00</w:t>
      </w:r>
    </w:p>
    <w:p>
      <w:pPr>
        <w:pStyle w:val="null3"/>
      </w:pPr>
      <w:r>
        <w:rPr>
          <w:rFonts w:ascii="仿宋_GB2312" w:hAnsi="仿宋_GB2312" w:cs="仿宋_GB2312" w:eastAsia="仿宋_GB2312"/>
        </w:rPr>
        <w:t>采购包最高限价（元）: 1,140,000.00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商洛市全民健身社区中央空调项目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1,140,000.00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标的名称：商洛市全民健身社区中央空调项目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采购过程中需要使用陕西省政府采购综合管理平台（以下简称“政府采购平台”），登录方式及地址：通过陕西省政府采购网（www.ccgp-shaanxi.gov.cn）首页供应商用户登录，供应商应当按照以下要求进行系统操作。 （一）供应商应当自行在陕西省政府采购网-办事指南查看相应的系统操作指南，并严格按照供应商操作手册要求进行系统操作。在登录、使用政府采购平台前，应当按照要求完成供应商注册和信息完善，加入政府采购平台供应商库。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 供应商应当加强互认的证书及签章日常校验和妥善保管，确保在参加采购活动期间互认的证书及签章能够正常使用；供应商应当严格互认的证书及签章的内部授权管理，防止非授权操作。 （三）供应商应当自行准备电子化采购所需的计算机终端、软硬件及网络环境，承担因准备不足产生的不利后果。 （四）开标/开启前30分钟内，供应商需登录项目电子化交易系统-“供应商开标大厅”-进入开标选择对应项目包组操作签到。 （五）政府采购平台技术支持： 在线客服：通过陕西省政府采购网-在线客服进行咨询 技术服务电话：029-96702 CA及签章服务：通过陕西省政府采购网-办事指南进行查询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供应商需在项目电子化交易系统中按要求填写《响应函》完成承诺并进行电子签章。a .有效的主体资格证明：供应商具有独立承担民事责任能力，提供有效的主体资格证明：供应商为合法注册的法人、其他组织或自然人，具有独立承担民事责任的能力 , 提供统一社会信用代码的营业执照（或事业法人证或其他合法证明文件） ，供应商为自然人的提供身份证 ；b. 财务状况证明： 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 ；其他组织和自然人提供银行出具的资信证明或财务报表；新成立企业提供成立以来的财务报表） ；或财政部门认可的政府采购专业担保机构出具的投标担保函； 以上三种形式的资料提供任何一种即可；c .提供具有履行合同所必需的设备和专业技术能力的承诺；d.税收缴纳证明：提供开标截止日前一年内已缴纳的至少一个月的依法缴纳税收的相关凭据(时间以税款所属日期为准 、税种须包含增值税或企业所得税) ，凭据应有税务机关或代收机关的公章或业务专用章；依法免税或无须缴纳税收的供应商，应提供相应证明文件；e .社会保障资金缴纳证明：提供投标截止日前一年内已缴存的至少一个月的社会保障资金缴存单据或社保机构开具的社会保险参保缴费情况证明或税务机关出具的完税证明，依法不需要缴纳社会保障资金的单位应提供相关证明材料；f.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税收缴纳证明.docx 财务状况证明.docx 书面声明.docx 承诺函.docx 响应函 主体资格证明.docx 社会保障资金缴纳证明.docx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供应商完整的全套财务报告（应当包括资产负债表、利润表、现金流量表、所有者权益变动表、附注），②可提供截至资格预审申请文件提交截止日一年内银行出具的资信证明，③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无直接控股、管理关系承诺书.docx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供应商具备合法有效的机电工程施工总承包三级及以上或建筑机电安装工程专业承包二级及以上资质，合法有效的安全生产许可证。</w:t>
            </w:r>
          </w:p>
        </w:tc>
        <w:tc>
          <w:tcPr>
            <w:tcW w:type="dxa" w:w="1661"/>
          </w:tcPr>
          <w:p>
            <w:pPr>
              <w:pStyle w:val="null3"/>
            </w:pPr>
            <w:r>
              <w:rPr>
                <w:rFonts w:ascii="仿宋_GB2312" w:hAnsi="仿宋_GB2312" w:cs="仿宋_GB2312" w:eastAsia="仿宋_GB2312"/>
              </w:rPr>
              <w:t>公司资质.docx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 （注册建造师）</w:t>
            </w:r>
          </w:p>
        </w:tc>
        <w:tc>
          <w:tcPr>
            <w:tcW w:type="dxa" w:w="3322"/>
          </w:tcPr>
          <w:p>
            <w:pPr>
              <w:pStyle w:val="null3"/>
            </w:pPr>
            <w:r>
              <w:rPr>
                <w:rFonts w:ascii="仿宋_GB2312" w:hAnsi="仿宋_GB2312" w:cs="仿宋_GB2312" w:eastAsia="仿宋_GB2312"/>
              </w:rPr>
              <w:t>1.须为本单位注册的机电工程专业二级及以上建造师，并具有有效的安全生产考核合格B证，并完成电子签章。 2.未担任其他在建工程项目的项目经理，并完成电子签章。</w:t>
            </w:r>
          </w:p>
        </w:tc>
        <w:tc>
          <w:tcPr>
            <w:tcW w:type="dxa" w:w="1661"/>
          </w:tcPr>
          <w:p>
            <w:pPr>
              <w:pStyle w:val="null3"/>
            </w:pPr>
            <w:r>
              <w:rPr>
                <w:rFonts w:ascii="仿宋_GB2312" w:hAnsi="仿宋_GB2312" w:cs="仿宋_GB2312" w:eastAsia="仿宋_GB2312"/>
              </w:rPr>
              <w:t>拟派项目负责人.docx 项目经理无在建工程项目承诺书.docx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供应商应授权合法的人员参加磋商响应全过程</w:t>
            </w:r>
          </w:p>
        </w:tc>
        <w:tc>
          <w:tcPr>
            <w:tcW w:type="dxa" w:w="3322"/>
          </w:tcPr>
          <w:p>
            <w:pPr>
              <w:pStyle w:val="null3"/>
            </w:pPr>
            <w:r>
              <w:rPr>
                <w:rFonts w:ascii="仿宋_GB2312" w:hAnsi="仿宋_GB2312" w:cs="仿宋_GB2312" w:eastAsia="仿宋_GB2312"/>
              </w:rPr>
              <w:t>供应商法定代表人（负责人）直接参加磋商响应的须提供法定代表人(负责人)身份证明书，法定代表人(负责人)授权代表参加磋商响应的须提供法定代表人(负责人)授权委托书、被授权人身份证复印件。供应商须在项目电子化交易系统中提交资料，并完成电子签章。</w:t>
            </w:r>
          </w:p>
        </w:tc>
        <w:tc>
          <w:tcPr>
            <w:tcW w:type="dxa" w:w="1661"/>
          </w:tcPr>
          <w:p>
            <w:pPr>
              <w:pStyle w:val="null3"/>
            </w:pPr>
            <w:r>
              <w:rPr>
                <w:rFonts w:ascii="仿宋_GB2312" w:hAnsi="仿宋_GB2312" w:cs="仿宋_GB2312" w:eastAsia="仿宋_GB2312"/>
              </w:rPr>
              <w:t>法定代表人证明与授权委托书.docx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供应商未被“信用中国” 网站（http://www.creditchina.gov.cn）列入重大税收违法案件当事人名单，未被“ 中国执行信息公开网”（ http://zxgk.court.gov.cn）网站被列为失信被执行人，未被“ 中国政府采购网”（h ttp://www.ccgp.gov.cn）列为政府采购严重违法失信行为记录名单、未被禁止参加政府采购活动。供应商须在项目电子化交易系统中提交在信用中国网站、中国执行信息公开网、中国政府采购网的信用记录查询截图，并完成电子签章。</w:t>
            </w:r>
          </w:p>
        </w:tc>
        <w:tc>
          <w:tcPr>
            <w:tcW w:type="dxa" w:w="1661"/>
          </w:tcPr>
          <w:p>
            <w:pPr>
              <w:pStyle w:val="null3"/>
            </w:pPr>
            <w:r>
              <w:rPr>
                <w:rFonts w:ascii="仿宋_GB2312" w:hAnsi="仿宋_GB2312" w:cs="仿宋_GB2312" w:eastAsia="仿宋_GB2312"/>
              </w:rPr>
              <w:t>信用情况.docx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提供未联合体书面声明，并完成电子签章。</w:t>
            </w:r>
          </w:p>
        </w:tc>
        <w:tc>
          <w:tcPr>
            <w:tcW w:type="dxa" w:w="1661"/>
          </w:tcPr>
          <w:p>
            <w:pPr>
              <w:pStyle w:val="null3"/>
            </w:pPr>
            <w:r>
              <w:rPr>
                <w:rFonts w:ascii="仿宋_GB2312" w:hAnsi="仿宋_GB2312" w:cs="仿宋_GB2312" w:eastAsia="仿宋_GB2312"/>
              </w:rPr>
              <w:t>非联合体声明.docx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提供书面声明，单位负责人为同一人或者存在直接控股、 管理关系的不同供应商不得参加同一合同项下的政府采购活动，并完成电子签章。</w:t>
            </w:r>
          </w:p>
        </w:tc>
        <w:tc>
          <w:tcPr>
            <w:tcW w:type="dxa" w:w="1661"/>
          </w:tcPr>
          <w:p>
            <w:pPr>
              <w:pStyle w:val="null3"/>
            </w:pPr>
            <w:r>
              <w:rPr>
                <w:rFonts w:ascii="仿宋_GB2312" w:hAnsi="仿宋_GB2312" w:cs="仿宋_GB2312" w:eastAsia="仿宋_GB2312"/>
              </w:rPr>
              <w:t>无直接控股、管理关系承诺书.docx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1.供应商资质基本信息及项目负责人（注册建造师）信息应在“ 陕西建设网（http://js.shaanxi.gov.cn/ ）陕西省建筑市场监管与诚信信息发布平台”可查询； 以陕西省建筑市场监管与诚信信息平台信息截图为准，并完成电子签章。（截图包括企业资质信息、人员执业证书信息） 2.提供技术、服务、合同条款及其他商务要求应答表 3.提供强制、优先采购产品承诺函。</w:t>
            </w:r>
          </w:p>
        </w:tc>
        <w:tc>
          <w:tcPr>
            <w:tcW w:type="dxa" w:w="1661"/>
          </w:tcPr>
          <w:p>
            <w:pPr>
              <w:pStyle w:val="null3"/>
            </w:pPr>
            <w:r>
              <w:rPr>
                <w:rFonts w:ascii="仿宋_GB2312" w:hAnsi="仿宋_GB2312" w:cs="仿宋_GB2312" w:eastAsia="仿宋_GB2312"/>
              </w:rPr>
              <w:t>供应商资质及注册建造师信息核查查询要求.docx 技术服务合同条款及其他商务要求应答表 强制优先采购产品承诺函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响应文件中供应商名称一致。</w:t>
            </w:r>
          </w:p>
        </w:tc>
        <w:tc>
          <w:tcPr>
            <w:tcW w:type="dxa" w:w="1661"/>
          </w:tcPr>
          <w:p>
            <w:pPr>
              <w:pStyle w:val="null3"/>
            </w:pPr>
            <w:r>
              <w:rPr>
                <w:rFonts w:ascii="仿宋_GB2312" w:hAnsi="仿宋_GB2312" w:cs="仿宋_GB2312" w:eastAsia="仿宋_GB2312"/>
              </w:rPr>
              <w:t>拟派项目负责人.docx 供应商类似项目业绩一览表.docx 财务状况证明.docx 无直接控股、管理关系承诺书.docx 项目经理无在建工程项目承诺书.docx 供应商资质及注册建造师信息核查查询要求.docx 法定代表人证明与授权委托书.docx 保证金.docx 承诺函.docx 信用情况.docx 强制优先采购产品承诺函 标的清单 主要人员简历表 监狱企业的证明文件 税收缴纳证明.docx 已标价工程量清单 中小企业声明函 技术服务合同条款及其他商务要求应答表 施工组织设计.docx 主体资格证明.docx 响应文件封面 非联合体声明.docx 项目管理机构组成表 书面声明.docx 残疾人福利性单位声明函 报价函 质保期服务承诺.docx 响应函 社会保障资金缴纳证明.docx 公司资质.docx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响应文件上法定代表人或其授权代理人的签字或盖章齐全并加盖供应商电子公章。</w:t>
            </w:r>
          </w:p>
        </w:tc>
        <w:tc>
          <w:tcPr>
            <w:tcW w:type="dxa" w:w="1661"/>
          </w:tcPr>
          <w:p>
            <w:pPr>
              <w:pStyle w:val="null3"/>
            </w:pPr>
            <w:r>
              <w:rPr>
                <w:rFonts w:ascii="仿宋_GB2312" w:hAnsi="仿宋_GB2312" w:cs="仿宋_GB2312" w:eastAsia="仿宋_GB2312"/>
              </w:rPr>
              <w:t>拟派项目负责人.docx 供应商类似项目业绩一览表.docx 财务状况证明.docx 无直接控股、管理关系承诺书.docx 项目经理无在建工程项目承诺书.docx 供应商资质及注册建造师信息核查查询要求.docx 法定代表人证明与授权委托书.docx 保证金.docx 承诺函.docx 信用情况.docx 强制优先采购产品承诺函 标的清单 主要人员简历表 监狱企业的证明文件 税收缴纳证明.docx 已标价工程量清单 中小企业声明函 技术服务合同条款及其他商务要求应答表 施工组织设计.docx 主体资格证明.docx 响应文件封面 非联合体声明.docx 项目管理机构组成表 书面声明.docx 残疾人福利性单位声明函 报价函 质保期服务承诺.docx 响应函 社会保障资金缴纳证明.docx 公司资质.docx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供应商首次总报价未超过采购预算或最高限价。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是否响应采购文件要求。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是否响应采购文件要求。</w:t>
            </w:r>
          </w:p>
        </w:tc>
        <w:tc>
          <w:tcPr>
            <w:tcW w:type="dxa" w:w="1661"/>
          </w:tcPr>
          <w:p>
            <w:pPr>
              <w:pStyle w:val="null3"/>
            </w:pPr>
            <w:r>
              <w:rPr>
                <w:rFonts w:ascii="仿宋_GB2312" w:hAnsi="仿宋_GB2312" w:cs="仿宋_GB2312" w:eastAsia="仿宋_GB2312"/>
              </w:rPr>
              <w:t>技术服务合同条款及其他商务要求应答表 施工组织设计.docx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工程地点</w:t>
            </w:r>
          </w:p>
        </w:tc>
        <w:tc>
          <w:tcPr>
            <w:tcW w:type="dxa" w:w="3322"/>
          </w:tcPr>
          <w:p>
            <w:pPr>
              <w:pStyle w:val="null3"/>
            </w:pPr>
            <w:r>
              <w:rPr>
                <w:rFonts w:ascii="仿宋_GB2312" w:hAnsi="仿宋_GB2312" w:cs="仿宋_GB2312" w:eastAsia="仿宋_GB2312"/>
              </w:rPr>
              <w:t>是否响应采购文件要求。</w:t>
            </w:r>
          </w:p>
        </w:tc>
        <w:tc>
          <w:tcPr>
            <w:tcW w:type="dxa" w:w="1661"/>
          </w:tcPr>
          <w:p>
            <w:pPr>
              <w:pStyle w:val="null3"/>
            </w:pPr>
            <w:r>
              <w:rPr>
                <w:rFonts w:ascii="仿宋_GB2312" w:hAnsi="仿宋_GB2312" w:cs="仿宋_GB2312" w:eastAsia="仿宋_GB2312"/>
              </w:rPr>
              <w:t>技术服务合同条款及其他商务要求应答表 施工组织设计.docx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是否响应采购文件要求。</w:t>
            </w:r>
          </w:p>
        </w:tc>
        <w:tc>
          <w:tcPr>
            <w:tcW w:type="dxa" w:w="1661"/>
          </w:tcPr>
          <w:p>
            <w:pPr>
              <w:pStyle w:val="null3"/>
            </w:pPr>
            <w:r>
              <w:rPr>
                <w:rFonts w:ascii="仿宋_GB2312" w:hAnsi="仿宋_GB2312" w:cs="仿宋_GB2312" w:eastAsia="仿宋_GB2312"/>
              </w:rPr>
              <w:t>技术服务合同条款及其他商务要求应答表 施工组织设计.docx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保证金按照采购文件要求足额缴纳，并提供磋商保证金缴存凭证或保函。</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服务及商务要求</w:t>
            </w:r>
          </w:p>
        </w:tc>
        <w:tc>
          <w:tcPr>
            <w:tcW w:type="dxa" w:w="3322"/>
          </w:tcPr>
          <w:p>
            <w:pPr>
              <w:pStyle w:val="null3"/>
            </w:pPr>
            <w:r>
              <w:rPr>
                <w:rFonts w:ascii="仿宋_GB2312" w:hAnsi="仿宋_GB2312" w:cs="仿宋_GB2312" w:eastAsia="仿宋_GB2312"/>
              </w:rPr>
              <w:t>是否响应采购文件要求。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符合采购文件”工程量清单“要求。</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 年 5 月至今中央空调设备供货 + 安装同类项目业绩，每份完整业绩须同时包含合同扫描件、竣工验收证明材料； 1. 每完整提供 1 份有效业绩得 3 分； 2. 单份业绩缺少合同或竣工验收材料任一资料，不计分； 3. 无任何有效同类业绩，本项得 0 分； 满分上限 12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施工组织设计专项方案</w:t>
            </w:r>
          </w:p>
        </w:tc>
        <w:tc>
          <w:tcPr>
            <w:tcW w:type="dxa" w:w="2492"/>
          </w:tcPr>
          <w:p>
            <w:pPr>
              <w:pStyle w:val="null3"/>
            </w:pPr>
            <w:r>
              <w:rPr>
                <w:rFonts w:ascii="仿宋_GB2312" w:hAnsi="仿宋_GB2312" w:cs="仿宋_GB2312" w:eastAsia="仿宋_GB2312"/>
              </w:rPr>
              <w:t>1. 中央空调重难点专项施工工艺（5 分）①完整覆盖本项目主机安装、风管保温、冷凝水防漏、机房降噪、管线穿梁减震全部施工重难点，配套管道防结露、风管消声专项施工措施，附管线排布节点详图、支架减震处理方案，单独成章：得 5 分；②覆盖项目 50% 及以上重难点内容，仅罗列通用安装流程，无专项降噪 / 防漏措施、无构造详图：得 2 分；③重难点覆盖不足 50%，未提供针对性专项施工方案：得 0 分。2. 质量管控及空调通病防治方案（5 分）①建立设备进场自检、管道安装复检、系统调试验收三级质检机制，列明风管漏风、冷凝水渗漏、机组异响、温度不均等专项通病预防、检测、返工完整流程：得 5 分；②仅列明通用质检流程，未针对中央空调列明通病防治措施：得 2 分；③无专项质量管控细则：得 0 分。3. 安全文明施工、机房防火、成品保护方案（5 分）①包含机房临电防护、冷媒动火管控、高空管线安装防护、降噪防尘、空调机组成品保护全套落地措施，明确专职安全员岗位职责、每日巡查制度：得 5 分；②仅罗列通用安全条款，无中央空调机房专项管控举措：得 2 分；③缺失 2 项及以上核心安全保障内容：得 0 分。4. 工期保障、交叉施工进度纠偏方案（5 分）①附分部分项详细进度横道图，空调设备到货、管线铺设、机房安装、系统调试劳动力 / 机械配置匹配合同工期，含装修交叉施工冲突、工期逾期赶工专项处置方案：得 5 分；②仅提供简易工期计划表，无设备到货调配、进度滞后纠偏措施：得 2 分；③未提供工期管控相关内容：得 0 分。5. 缺陷责任期质保、系统维修响应方案（5 分）①承诺整机质保年限高于招标文件最低要求，明确 2 小时到场、24 小时机组故障修复分级响应机制，附本地常驻维修班组、原厂备件储备清单：得 5 分；②仅响应招标文件最低质保要求，无空调故障应急维修处置流程：得 2 分；③未响应空调质保、售后维修相关要求：得 0 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项目管理团队保障方案</w:t>
            </w:r>
          </w:p>
        </w:tc>
        <w:tc>
          <w:tcPr>
            <w:tcW w:type="dxa" w:w="2492"/>
          </w:tcPr>
          <w:p>
            <w:pPr>
              <w:pStyle w:val="null3"/>
            </w:pPr>
            <w:r>
              <w:rPr>
                <w:rFonts w:ascii="仿宋_GB2312" w:hAnsi="仿宋_GB2312" w:cs="仿宋_GB2312" w:eastAsia="仿宋_GB2312"/>
              </w:rPr>
              <w:t>1. 项目经理现场驻场管控方案（4 分）①明确项目经理全程驻场、每日机房现场巡查、空调分系统验收签字制度，附中央空调同类项目现场管理实施案例说明：得 4 分；②仅承诺驻场，无空调安装全过程管控流程：得 1 分；③未说明项目经理现场管理职责：得 0 分。2. 技术负责人专项技术管控措施（4 分）①针对中央空调设备进场检验、风管保温、冷媒管路、系统调试提供全过程技术交底、复检、工序验收专项管控方案：得 4 分；②仅列明技术负责人岗位名称，无空调专项技术管控细则：得 1 分；③无技术管控相关内容：得 0 分。3. 专业安装班组配置及岗前培训制度（4 分）①列明空调管工、制冷工、电工、调试班组配置人数，配套进场安全、制冷工艺岗前培训完整计划：得 4 分；②仅列明施工工种名称，无人员数量、专项培训安排：得 1 分；③未说明空调安装班组配置相关内容：得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拟派项目负责人.docx</w:t>
            </w:r>
          </w:p>
        </w:tc>
      </w:tr>
      <w:tr>
        <w:tc>
          <w:tcPr>
            <w:tcW w:type="dxa" w:w="831"/>
            <w:vMerge/>
          </w:tcPr>
          <w:p/>
        </w:tc>
        <w:tc>
          <w:tcPr>
            <w:tcW w:type="dxa" w:w="1661"/>
          </w:tcPr>
          <w:p>
            <w:pPr>
              <w:pStyle w:val="null3"/>
            </w:pPr>
            <w:r>
              <w:rPr>
                <w:rFonts w:ascii="仿宋_GB2312" w:hAnsi="仿宋_GB2312" w:cs="仿宋_GB2312" w:eastAsia="仿宋_GB2312"/>
              </w:rPr>
              <w:t>履约保障与应急抢修方案</w:t>
            </w:r>
          </w:p>
        </w:tc>
        <w:tc>
          <w:tcPr>
            <w:tcW w:type="dxa" w:w="2492"/>
          </w:tcPr>
          <w:p>
            <w:pPr>
              <w:pStyle w:val="null3"/>
            </w:pPr>
            <w:r>
              <w:rPr>
                <w:rFonts w:ascii="仿宋_GB2312" w:hAnsi="仿宋_GB2312" w:cs="仿宋_GB2312" w:eastAsia="仿宋_GB2312"/>
              </w:rPr>
              <w:t>1. 中央空调主机、辅材原厂供货质保保障措施（3 分）①完整列明项目主机、风机、保温管材、冷媒配件全部品牌、规格、原厂质保承诺、供货周期保障方案：得 3 分；②主材清单缺失 50% 以上设备 / 辅材型号，仅简单提供供货清单：得 1 分；③无原厂供货、质保保障方案：得 0 分。2. 分阶段设备进场验收、第三方检测配合方案（3 分）①设备进场、风管隐蔽、整机调试、竣工验收全流程验收细则，主动配合第三方能效、风管漏风检测、取样送检完整安排：得 3 分；②仅简单提及设备验收流程，无第三方检测配合细则：得 1 分；③无分阶段验收方案：得 0 分。3. 缺陷期定期巡检、免费更换维修细则（3 分）①列明季度空调系统巡检计划、机组故障 / 风管破损免费维修、零配件更换完整书面承诺：得 3 分；②仅简单承诺质保期限，无定期巡检机制：得 1 分；③无巡检、维修专项方案：得 0 分。4. 突发机组停机、冷媒泄漏应急抢修预案（2 分）①明确突发故障抢修人员、备用机组、冷媒备件调配流程，24 小时制冷系统应急值班机制：得 2 分；②无中央空调故障应急处置预案：得 0 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质保期服务承诺.docx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满足磋商文件要求且最后报价最低的供应商的价格为磋商基准价，其价格分为满分。其他供应商的价格分统一按照下列公式计算：磋商报价得分=（磋商基准价/最后磋商报价）×40 注：1.磋商基准价即实质性响应竞争性磋商文件要求的供应商的最低磋商报价。大于最高限价的磋商报价在评审过程中报价按无效磋商处理。 2.经磋商小组一致认定，供应商的磋商最终总报价低于公认市场成本，或超过采购预算,其磋商将被拒绝，按无效处理。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详见附件：信用情况.docx</w:t>
      </w:r>
    </w:p>
    <w:p>
      <w:pPr>
        <w:pStyle w:val="null3"/>
        <w:ind w:firstLine="960"/>
      </w:pPr>
      <w:r>
        <w:rPr>
          <w:rFonts w:ascii="仿宋_GB2312" w:hAnsi="仿宋_GB2312" w:cs="仿宋_GB2312" w:eastAsia="仿宋_GB2312"/>
        </w:rPr>
        <w:t>详见附件：无直接控股、管理关系承诺书.docx</w:t>
      </w:r>
    </w:p>
    <w:p>
      <w:pPr>
        <w:pStyle w:val="null3"/>
        <w:ind w:firstLine="960"/>
      </w:pPr>
      <w:r>
        <w:rPr>
          <w:rFonts w:ascii="仿宋_GB2312" w:hAnsi="仿宋_GB2312" w:cs="仿宋_GB2312" w:eastAsia="仿宋_GB2312"/>
        </w:rPr>
        <w:t>详见附件：法定代表人证明与授权委托书.docx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详见附件：质保期服务承诺.docx</w:t>
      </w:r>
    </w:p>
    <w:p>
      <w:pPr>
        <w:pStyle w:val="null3"/>
        <w:ind w:firstLine="960"/>
      </w:pPr>
      <w:r>
        <w:rPr>
          <w:rFonts w:ascii="仿宋_GB2312" w:hAnsi="仿宋_GB2312" w:cs="仿宋_GB2312" w:eastAsia="仿宋_GB2312"/>
        </w:rPr>
        <w:t>详见附件：项目经理无在建工程项目承诺书.docx</w:t>
      </w:r>
    </w:p>
    <w:p>
      <w:pPr>
        <w:pStyle w:val="null3"/>
        <w:ind w:firstLine="960"/>
      </w:pPr>
      <w:r>
        <w:rPr>
          <w:rFonts w:ascii="仿宋_GB2312" w:hAnsi="仿宋_GB2312" w:cs="仿宋_GB2312" w:eastAsia="仿宋_GB2312"/>
        </w:rPr>
        <w:t>详见附件：拟派项目负责人.docx</w:t>
      </w:r>
    </w:p>
    <w:p>
      <w:pPr>
        <w:pStyle w:val="null3"/>
        <w:ind w:firstLine="960"/>
      </w:pPr>
      <w:r>
        <w:rPr>
          <w:rFonts w:ascii="仿宋_GB2312" w:hAnsi="仿宋_GB2312" w:cs="仿宋_GB2312" w:eastAsia="仿宋_GB2312"/>
        </w:rPr>
        <w:t>详见附件：主体资格证明.docx</w:t>
      </w:r>
    </w:p>
    <w:p>
      <w:pPr>
        <w:pStyle w:val="null3"/>
        <w:ind w:firstLine="960"/>
      </w:pPr>
      <w:r>
        <w:rPr>
          <w:rFonts w:ascii="仿宋_GB2312" w:hAnsi="仿宋_GB2312" w:cs="仿宋_GB2312" w:eastAsia="仿宋_GB2312"/>
        </w:rPr>
        <w:t>详见附件：公司资质.docx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详见附件：供应商资质及注册建造师信息核查查询要求.docx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