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版本号：KY2026-3-06520260506001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馆前区参观道路提升工程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KY2026-3-065</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馆前区参观道路提升工程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馆前区参观道路提升工程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秦始皇帝陵博物院馆前区参观道路提升工程，简要技术要求、用途：详见磋商文件。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采购包1（秦始皇帝陵博物院馆前区参观道路提升工程）：属于专门面向中小企业采购。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7、法定代表人授权书：法定代表人授权书及被授权人身份证复印件。（法定代表人直接磋商只须提交法定代表人身份证明书）</w:t>
      </w:r>
    </w:p>
    <w:p>
      <w:pPr>
        <w:pStyle w:val="null3"/>
      </w:pPr>
      <w:r>
        <w:rPr>
          <w:rFonts w:ascii="仿宋_GB2312" w:hAnsi="仿宋_GB2312" w:cs="仿宋_GB2312" w:eastAsia="仿宋_GB2312"/>
        </w:rPr>
        <w:t>8、供应商资质要求：供应商须具备有效的建筑工程施工总承包三级及以上资质</w:t>
      </w:r>
    </w:p>
    <w:p>
      <w:pPr>
        <w:pStyle w:val="null3"/>
      </w:pPr>
      <w:r>
        <w:rPr>
          <w:rFonts w:ascii="仿宋_GB2312" w:hAnsi="仿宋_GB2312" w:cs="仿宋_GB2312" w:eastAsia="仿宋_GB2312"/>
        </w:rPr>
        <w:t>9、安全生产许可证：供应商具备有效的安全生产许可证</w:t>
      </w:r>
    </w:p>
    <w:p>
      <w:pPr>
        <w:pStyle w:val="null3"/>
      </w:pPr>
      <w:r>
        <w:rPr>
          <w:rFonts w:ascii="仿宋_GB2312" w:hAnsi="仿宋_GB2312" w:cs="仿宋_GB2312" w:eastAsia="仿宋_GB2312"/>
        </w:rPr>
        <w:t>10、拟派项目经理资质要求：拟派项目经理资质要求：拟派项目经理具有有效的建筑工程专业二级及以上注册建造师资格，具有有效的安全生产考核合格证，且未担任其他在建工程项目的项目经理（提供无在建承诺书）</w:t>
      </w:r>
    </w:p>
    <w:p>
      <w:pPr>
        <w:pStyle w:val="null3"/>
      </w:pPr>
      <w:r>
        <w:rPr>
          <w:rFonts w:ascii="仿宋_GB2312" w:hAnsi="仿宋_GB2312" w:cs="仿宋_GB2312" w:eastAsia="仿宋_GB2312"/>
        </w:rPr>
        <w:t>11、不良记录查询：供应商及项目经理须在“陕西省住房和城乡建设厅”可查询且无不良记录</w:t>
      </w:r>
    </w:p>
    <w:p>
      <w:pPr>
        <w:pStyle w:val="null3"/>
      </w:pPr>
      <w:r>
        <w:rPr>
          <w:rFonts w:ascii="仿宋_GB2312" w:hAnsi="仿宋_GB2312" w:cs="仿宋_GB2312" w:eastAsia="仿宋_GB2312"/>
        </w:rPr>
        <w:t>12、中小企业声明函：提供中小企业声明函（本项目为专门面向中、小、微型企业采购项目）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银行账号：86113010750181502001004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成交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踏勘时间：2026-05-13 10:00:00</w:t>
            </w:r>
          </w:p>
          <w:p>
            <w:pPr>
              <w:pStyle w:val="null3"/>
              <w:ind w:firstLine="975"/>
            </w:pPr>
            <w:r>
              <w:rPr>
                <w:rFonts w:ascii="仿宋_GB2312" w:hAnsi="仿宋_GB2312" w:cs="仿宋_GB2312" w:eastAsia="仿宋_GB2312"/>
              </w:rPr>
              <w:t>踏勘地点：秦始皇帝陵博物院馆前A区4号门 注：因踏勘位置特殊，参与本次踏勘的供应商须在踏勘前将踏勘参与人的姓名、身份证号码、联系方式发送至2692780587@qq.com邮箱，若未发送信息或信息缺项，会导致无法入场，供应商自行承担责任。（每家供应商限1人参与）</w:t>
            </w:r>
          </w:p>
          <w:p>
            <w:pPr>
              <w:pStyle w:val="null3"/>
              <w:ind w:firstLine="975"/>
            </w:pPr>
            <w:r>
              <w:rPr>
                <w:rFonts w:ascii="仿宋_GB2312" w:hAnsi="仿宋_GB2312" w:cs="仿宋_GB2312" w:eastAsia="仿宋_GB2312"/>
              </w:rPr>
              <w:t>联系人：徐闫靖双</w:t>
            </w:r>
          </w:p>
          <w:p>
            <w:pPr>
              <w:pStyle w:val="null3"/>
              <w:ind w:firstLine="975"/>
            </w:pPr>
            <w:r>
              <w:rPr>
                <w:rFonts w:ascii="仿宋_GB2312" w:hAnsi="仿宋_GB2312" w:cs="仿宋_GB2312" w:eastAsia="仿宋_GB2312"/>
              </w:rPr>
              <w:t>联系电话号码：029-81206622-841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1,924,000.00</w:t>
      </w:r>
    </w:p>
    <w:p>
      <w:pPr>
        <w:pStyle w:val="null3"/>
      </w:pPr>
      <w:r>
        <w:rPr>
          <w:rFonts w:ascii="仿宋_GB2312" w:hAnsi="仿宋_GB2312" w:cs="仿宋_GB2312" w:eastAsia="仿宋_GB2312"/>
        </w:rPr>
        <w:t>采购包最高限价（元）: 1,924,000.00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馆前区参观道路提升工程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标的名称：馆前区参观道路提升工程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本工程建设地点位于秦始皇帝陵博物院内，工程内容为始皇帝陵博物院馆馆前区参观道路拓宽、增加绿化、排水沟、路灯管线预埋、音响等工程。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二、工程量清单编制依据：</w:t>
            </w:r>
          </w:p>
          <w:p>
            <w:pPr>
              <w:pStyle w:val="null3"/>
            </w:pPr>
            <w:r>
              <w:rPr>
                <w:rFonts w:ascii="仿宋_GB2312" w:hAnsi="仿宋_GB2312" w:cs="仿宋_GB2312" w:eastAsia="仿宋_GB2312"/>
                <w:sz w:val="21"/>
              </w:rPr>
              <w:t>1、陕西省工程建设标准《建设工程工程量清单计价标准》(DB 61/T5126-2025)、陕西省工程建设标准《房屋建筑与装饰工程工程量计算标准》(DB 61/T5129-2025)、陕西省工程建设标准《通用安装工程工程量计算标准》(DB 61/T5130-2025)；</w:t>
            </w:r>
          </w:p>
          <w:p>
            <w:pPr>
              <w:pStyle w:val="null3"/>
            </w:pPr>
            <w:r>
              <w:rPr>
                <w:rFonts w:ascii="仿宋_GB2312" w:hAnsi="仿宋_GB2312" w:cs="仿宋_GB2312" w:eastAsia="仿宋_GB2312"/>
                <w:sz w:val="21"/>
              </w:rPr>
              <w:t>2、秦始皇帝陵博物院馆前区参观道路提升工程施工图纸、图纸答疑回复等资料；</w:t>
            </w:r>
          </w:p>
          <w:p>
            <w:pPr>
              <w:pStyle w:val="null3"/>
            </w:pPr>
            <w:r>
              <w:rPr>
                <w:rFonts w:ascii="仿宋_GB2312" w:hAnsi="仿宋_GB2312" w:cs="仿宋_GB2312" w:eastAsia="仿宋_GB2312"/>
                <w:sz w:val="21"/>
              </w:rPr>
              <w:t>3、与建设工程项目有关的标准、规范、图集、技术资料；</w:t>
            </w:r>
          </w:p>
          <w:p>
            <w:pPr>
              <w:pStyle w:val="null3"/>
            </w:pPr>
            <w:r>
              <w:rPr>
                <w:rFonts w:ascii="仿宋_GB2312" w:hAnsi="仿宋_GB2312" w:cs="仿宋_GB2312" w:eastAsia="仿宋_GB2312"/>
                <w:sz w:val="21"/>
              </w:rPr>
              <w:t>4、《陕西省房屋建筑与装饰工程消耗量定额》(2025)、《陕西省园林绿化工程消耗量定额》(2025)、《陕西省通用安装工程消耗量定额》(2025)；</w:t>
            </w:r>
          </w:p>
          <w:p>
            <w:pPr>
              <w:pStyle w:val="null3"/>
            </w:pPr>
            <w:r>
              <w:rPr>
                <w:rFonts w:ascii="仿宋_GB2312" w:hAnsi="仿宋_GB2312" w:cs="仿宋_GB2312" w:eastAsia="仿宋_GB2312"/>
                <w:sz w:val="21"/>
              </w:rPr>
              <w:t>5、《陕西省房屋建筑与装饰工程基价表》(2025)、《陕西省园林绿化工程基价表》(2025)、《陕西省通用安装工程基价表》(2025)；</w:t>
            </w:r>
          </w:p>
          <w:p>
            <w:pPr>
              <w:pStyle w:val="null3"/>
            </w:pPr>
            <w:r>
              <w:rPr>
                <w:rFonts w:ascii="仿宋_GB2312" w:hAnsi="仿宋_GB2312" w:cs="仿宋_GB2312" w:eastAsia="仿宋_GB2312"/>
                <w:sz w:val="21"/>
              </w:rPr>
              <w:t>6、《陕西省建设工程费用规则》(2025)；</w:t>
            </w:r>
          </w:p>
          <w:p>
            <w:pPr>
              <w:pStyle w:val="null3"/>
            </w:pPr>
            <w:r>
              <w:rPr>
                <w:rFonts w:ascii="仿宋_GB2312" w:hAnsi="仿宋_GB2312" w:cs="仿宋_GB2312" w:eastAsia="仿宋_GB2312"/>
                <w:sz w:val="21"/>
              </w:rPr>
              <w:t>7、《陕西省住房和城乡建设厅关于印发2025陕西省建设工程费用规则等计价依据的通知》陕建管发[2025]10号文；</w:t>
            </w:r>
          </w:p>
          <w:p>
            <w:pPr>
              <w:pStyle w:val="null3"/>
            </w:pPr>
            <w:r>
              <w:rPr>
                <w:rFonts w:ascii="仿宋_GB2312" w:hAnsi="仿宋_GB2312" w:cs="仿宋_GB2312" w:eastAsia="仿宋_GB2312"/>
                <w:sz w:val="21"/>
              </w:rPr>
              <w:t>8、《关于批准发布《绿色生态小区建设评价标准》等7项陕西省工程建设标准的通告》陕建标发[2025]2号文；</w:t>
            </w:r>
          </w:p>
          <w:p>
            <w:pPr>
              <w:pStyle w:val="null3"/>
            </w:pPr>
            <w:r>
              <w:rPr>
                <w:rFonts w:ascii="仿宋_GB2312" w:hAnsi="仿宋_GB2312" w:cs="仿宋_GB2312" w:eastAsia="仿宋_GB2312"/>
                <w:sz w:val="21"/>
              </w:rPr>
              <w:t>9、施工现场情况、工程特点及常规施工方案；</w:t>
            </w:r>
          </w:p>
          <w:p>
            <w:pPr>
              <w:pStyle w:val="null3"/>
            </w:pPr>
            <w:r>
              <w:rPr>
                <w:rFonts w:ascii="仿宋_GB2312" w:hAnsi="仿宋_GB2312" w:cs="仿宋_GB2312" w:eastAsia="仿宋_GB2312"/>
                <w:sz w:val="21"/>
              </w:rPr>
              <w:t>10、其他相关资料；</w:t>
            </w:r>
          </w:p>
          <w:p>
            <w:pPr>
              <w:pStyle w:val="null3"/>
            </w:pPr>
            <w:r>
              <w:rPr>
                <w:rFonts w:ascii="仿宋_GB2312" w:hAnsi="仿宋_GB2312" w:cs="仿宋_GB2312" w:eastAsia="仿宋_GB2312"/>
                <w:sz w:val="21"/>
              </w:rPr>
              <w:t>11、材料价格参照2026年3月《陕西省工程造价信息》及材料市场价格计入；</w:t>
            </w:r>
          </w:p>
          <w:p>
            <w:pPr>
              <w:pStyle w:val="null3"/>
            </w:pPr>
            <w:r>
              <w:rPr>
                <w:rFonts w:ascii="仿宋_GB2312" w:hAnsi="仿宋_GB2312" w:cs="仿宋_GB2312" w:eastAsia="仿宋_GB2312"/>
                <w:sz w:val="21"/>
              </w:rPr>
              <w:t>12、工程造价咨询业务委托单。</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三、有关说明</w:t>
            </w:r>
          </w:p>
          <w:p>
            <w:pPr>
              <w:pStyle w:val="null3"/>
            </w:pPr>
            <w:r>
              <w:rPr>
                <w:rFonts w:ascii="仿宋_GB2312" w:hAnsi="仿宋_GB2312" w:cs="仿宋_GB2312" w:eastAsia="仿宋_GB2312"/>
                <w:sz w:val="21"/>
              </w:rPr>
              <w:t>1、暂定综合单价：50厚青石板面层400元/</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2、暂定材料价：红叶石楠、海桐混栽5元/株；</w:t>
            </w:r>
          </w:p>
          <w:p>
            <w:pPr>
              <w:pStyle w:val="null3"/>
            </w:pPr>
            <w:r>
              <w:rPr>
                <w:rFonts w:ascii="仿宋_GB2312" w:hAnsi="仿宋_GB2312" w:cs="仿宋_GB2312" w:eastAsia="仿宋_GB2312"/>
                <w:sz w:val="21"/>
              </w:rPr>
              <w:t>3、景观座椅、路灯及基础未计入预算内；</w:t>
            </w:r>
          </w:p>
          <w:p>
            <w:pPr>
              <w:pStyle w:val="null3"/>
            </w:pPr>
            <w:r>
              <w:rPr>
                <w:rFonts w:ascii="仿宋_GB2312" w:hAnsi="仿宋_GB2312" w:cs="仿宋_GB2312" w:eastAsia="仿宋_GB2312"/>
                <w:sz w:val="21"/>
              </w:rPr>
              <w:t>4、绿化按红叶石楠、海桐混栽篱株高500mm,宽度400mm,30株/</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sz w:val="21"/>
              </w:rPr>
              <w:t>计入预算；</w:t>
            </w:r>
          </w:p>
          <w:p>
            <w:pPr>
              <w:pStyle w:val="null3"/>
            </w:pPr>
            <w:r>
              <w:rPr>
                <w:rFonts w:ascii="仿宋_GB2312" w:hAnsi="仿宋_GB2312" w:cs="仿宋_GB2312" w:eastAsia="仿宋_GB2312"/>
                <w:sz w:val="21"/>
              </w:rPr>
              <w:t>5、浆砌卵石明沟雨水口图纸未明确数量，暂按5座计入预算。</w:t>
            </w:r>
          </w:p>
          <w:p>
            <w:pPr>
              <w:pStyle w:val="null3"/>
            </w:pPr>
            <w:r>
              <w:rPr>
                <w:rFonts w:ascii="仿宋_GB2312" w:hAnsi="仿宋_GB2312" w:cs="仿宋_GB2312" w:eastAsia="仿宋_GB2312"/>
                <w:sz w:val="21"/>
              </w:rPr>
              <w:t>6、暂列金：150000元。</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四、工期：70天（不含绿化）</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五、质保期：自验收合格之日起工程整体质保2年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工程量清单：详见工程量清单附件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施工要求的质量标准：达到现行“合格”标准，符合国家、行业、地方规定以及磋商文件规定的质量和安全标准要求。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★付款方式：（1）项目正式开工建设（以开工令日期为准），15日内支付签约合同价总额的30%，做为预付款； （2）进度款按月完成量80%支付，第二个月开始分两次扣回预付款。 工程竣工验收或交付使用，15日内支付到签约合同价总额的80%； （3）本工程审计完成，15日内支付到工程结算金额的97%； （4）质保期结束后，15日内支付到工程结算金额的100%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法定代表人授权书及被授权人身份证复印件。（法定代表人直接磋商只须提交法定代表人身份证明书）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供应商须具备有效的建筑工程施工总承包三级及以上资质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拟派项目经理资质要求：拟派项目经理具有有效的建筑工程专业二级及以上注册建造师资格，具有有效的安全生产考核合格证，且未担任其他在建工程项目的项目经理（提供无在建承诺书）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不良记录查询</w:t>
            </w:r>
          </w:p>
        </w:tc>
        <w:tc>
          <w:tcPr>
            <w:tcW w:type="dxa" w:w="3322"/>
          </w:tcPr>
          <w:p>
            <w:pPr>
              <w:pStyle w:val="null3"/>
            </w:pPr>
            <w:r>
              <w:rPr>
                <w:rFonts w:ascii="仿宋_GB2312" w:hAnsi="仿宋_GB2312" w:cs="仿宋_GB2312" w:eastAsia="仿宋_GB2312"/>
              </w:rPr>
              <w:t>供应商及项目经理须在“陕西省住房和城乡建设厅”可查询且无不良记录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其他说明.docx 供应商资格条件证明文件.docx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针对本项目有具体的施工方案,包括：①道路的维修拓宽方案；②道路沿线的雨水明沟施工方案；③附属设施施工方案。满分15分。每有一项缺项扣5分，每有一项内容中有一处缺陷，扣1分。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针对本项目有具体的施工进度及工期保障措施，包括：①提供施工进度表或施工网络图；②关键节点及重点难点分析；③确保进度、保证工期的的技术组织措施；满分15分。每有一项缺项扣5分，每有一项内容中有一处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针对本项目制定切实可行的施工质量保证措施，包括：①总体质量控制目标；②分阶段施工的重点难点目标，且对质量控制目标进行合理分解、规划，确保本项目质量标准符合该项目质量要求；满分4分。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针对本项目有安全、文明施工的技术组织措施，包括：1.结合工程环境、特点分析安全隐患并提供应急保证措施；2.给出有针对性的安全施工管理制度、3.文明施工、4.环保施工、5.防尘降噪等保证防护措施方案；满分15分。每有一项缺项扣3分，每有一项内容中有一处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劳动力、施工机械配备和材料投入</w:t>
            </w:r>
          </w:p>
        </w:tc>
        <w:tc>
          <w:tcPr>
            <w:tcW w:type="dxa" w:w="2492"/>
          </w:tcPr>
          <w:p>
            <w:pPr>
              <w:pStyle w:val="null3"/>
            </w:pPr>
            <w:r>
              <w:rPr>
                <w:rFonts w:ascii="仿宋_GB2312" w:hAnsi="仿宋_GB2312" w:cs="仿宋_GB2312" w:eastAsia="仿宋_GB2312"/>
              </w:rPr>
              <w:t>针对本项目拟投入：①劳动力安排合理，能有效保证工程工期；②机械配备完善、材料投入符合采购要求；满分4分。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详细评审---劳动力、施工机械配备和材料投入.docx</w:t>
            </w:r>
          </w:p>
        </w:tc>
      </w:tr>
      <w:tr>
        <w:tc>
          <w:tcPr>
            <w:tcW w:type="dxa" w:w="831"/>
            <w:vMerge/>
          </w:tcPr>
          <w:p/>
        </w:tc>
        <w:tc>
          <w:tcPr>
            <w:tcW w:type="dxa" w:w="1661"/>
          </w:tcPr>
          <w:p>
            <w:pPr>
              <w:pStyle w:val="null3"/>
            </w:pPr>
            <w:r>
              <w:rPr>
                <w:rFonts w:ascii="仿宋_GB2312" w:hAnsi="仿宋_GB2312" w:cs="仿宋_GB2312" w:eastAsia="仿宋_GB2312"/>
              </w:rPr>
              <w:t>项目部人员构成</w:t>
            </w:r>
          </w:p>
        </w:tc>
        <w:tc>
          <w:tcPr>
            <w:tcW w:type="dxa" w:w="2492"/>
          </w:tcPr>
          <w:p>
            <w:pPr>
              <w:pStyle w:val="null3"/>
            </w:pPr>
            <w:r>
              <w:rPr>
                <w:rFonts w:ascii="仿宋_GB2312" w:hAnsi="仿宋_GB2312" w:cs="仿宋_GB2312" w:eastAsia="仿宋_GB2312"/>
              </w:rPr>
              <w:t>拟派项目部其它管理人员，除拟派项目经理及拟派项目技术负责人以外，至少应包括：施工员1人、资料员1人、材料员1人、安全员1人、质量员1人。 满足以上全部要求的得5分，任意一项不满足要求的得0分。 评审依据：拟派人员须为投标人本单位人员，提供以上人员开标前半年内任意一个月社保（或劳动合同或银行卡工资流水）、身份证和相应专业职称证书或注册证书，其中安全员必须提供安全员C证，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详细评审---项目部人员构成.docx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供应商针对本项目的材料清单（清单内容包括但不限于材料名称、品牌、规格、材质等），提供清单内容完整丰富，使用材料能保障工程质量的计3分；清单内容基本完整，使用材料基本能保障工程质量的计2分；清单内容有欠缺，使用材料不能完全保障工程质量的计1分； 2.如响应材料为节能环保或环境标志产品，提供相关证明材料，每提供1份计1分，满分2分。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供应商提供自2023年1月1日至本项目响应文件递交截止时间前完成的类似业绩证明材料，提供1个得1分，最多得5分。未提供的不得分。 评审依据：提供施工合同的复印件（证明材料包括合同和完（竣）工验收鉴定书/完工证明书等完工证明材料），时间以合同签订时间为准。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质量保修承诺完整，包括：①有售后保障工作服务方案及工作计划；②有保修团队人员配备并具备相关资格证书；③有巡查或复查计划及售后质量保障措施；④对工程维修服务响应时限有明确的承诺；满分2分。每有一项缺项扣0.5分，每有一项内容中有缺陷，扣0.25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详细评审---保修承诺.docx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详见附件：详细评审---施工方案.docx</w:t>
      </w:r>
    </w:p>
    <w:p>
      <w:pPr>
        <w:pStyle w:val="null3"/>
        <w:ind w:firstLine="960"/>
      </w:pPr>
      <w:r>
        <w:rPr>
          <w:rFonts w:ascii="仿宋_GB2312" w:hAnsi="仿宋_GB2312" w:cs="仿宋_GB2312" w:eastAsia="仿宋_GB2312"/>
        </w:rPr>
        <w:t>详见附件：详细评审---施工进度及工期保障措施.docx</w:t>
      </w:r>
    </w:p>
    <w:p>
      <w:pPr>
        <w:pStyle w:val="null3"/>
        <w:ind w:firstLine="960"/>
      </w:pPr>
      <w:r>
        <w:rPr>
          <w:rFonts w:ascii="仿宋_GB2312" w:hAnsi="仿宋_GB2312" w:cs="仿宋_GB2312" w:eastAsia="仿宋_GB2312"/>
        </w:rPr>
        <w:t>详见附件：详细评审---施工质量保证措施.docx</w:t>
      </w:r>
    </w:p>
    <w:p>
      <w:pPr>
        <w:pStyle w:val="null3"/>
        <w:ind w:firstLine="960"/>
      </w:pPr>
      <w:r>
        <w:rPr>
          <w:rFonts w:ascii="仿宋_GB2312" w:hAnsi="仿宋_GB2312" w:cs="仿宋_GB2312" w:eastAsia="仿宋_GB2312"/>
        </w:rPr>
        <w:t>详见附件：详细评审---安全、文明施工技术组织措施.docx</w:t>
      </w:r>
    </w:p>
    <w:p>
      <w:pPr>
        <w:pStyle w:val="null3"/>
        <w:ind w:firstLine="960"/>
      </w:pPr>
      <w:r>
        <w:rPr>
          <w:rFonts w:ascii="仿宋_GB2312" w:hAnsi="仿宋_GB2312" w:cs="仿宋_GB2312" w:eastAsia="仿宋_GB2312"/>
        </w:rPr>
        <w:t>详见附件：详细评审---劳动力、施工机械配备和材料投入.docx</w:t>
      </w:r>
    </w:p>
    <w:p>
      <w:pPr>
        <w:pStyle w:val="null3"/>
        <w:ind w:firstLine="960"/>
      </w:pPr>
      <w:r>
        <w:rPr>
          <w:rFonts w:ascii="仿宋_GB2312" w:hAnsi="仿宋_GB2312" w:cs="仿宋_GB2312" w:eastAsia="仿宋_GB2312"/>
        </w:rPr>
        <w:t>详见附件：详细评审---项目部人员构成.docx</w:t>
      </w:r>
    </w:p>
    <w:p>
      <w:pPr>
        <w:pStyle w:val="null3"/>
        <w:ind w:firstLine="960"/>
      </w:pPr>
      <w:r>
        <w:rPr>
          <w:rFonts w:ascii="仿宋_GB2312" w:hAnsi="仿宋_GB2312" w:cs="仿宋_GB2312" w:eastAsia="仿宋_GB2312"/>
        </w:rPr>
        <w:t>详见附件：详细评审---响应材料.docx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详见附件：详细评审---保修承诺.docx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