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4C3EF">
      <w:pPr>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（本合同为参考模板，具体以甲乙双方签订合同为准）</w:t>
      </w:r>
    </w:p>
    <w:p w14:paraId="0C3A9FAC">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合同文件格式</w:t>
      </w:r>
    </w:p>
    <w:p w14:paraId="6A1A8F72">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w:t>
      </w:r>
      <w:r>
        <w:rPr>
          <w:rFonts w:hint="eastAsia" w:ascii="仿宋" w:hAnsi="仿宋" w:eastAsia="仿宋" w:cs="仿宋"/>
          <w:bCs/>
          <w:color w:val="auto"/>
          <w:sz w:val="24"/>
          <w:szCs w:val="24"/>
          <w:highlight w:val="none"/>
          <w:lang w:eastAsia="zh-CN"/>
        </w:rPr>
        <w:t>招标</w:t>
      </w:r>
      <w:r>
        <w:rPr>
          <w:rFonts w:hint="eastAsia" w:ascii="仿宋" w:hAnsi="仿宋" w:eastAsia="仿宋" w:cs="仿宋"/>
          <w:bCs/>
          <w:color w:val="auto"/>
          <w:sz w:val="24"/>
          <w:szCs w:val="24"/>
          <w:highlight w:val="none"/>
        </w:rPr>
        <w:t>人）：</w:t>
      </w:r>
    </w:p>
    <w:p w14:paraId="09A66A35">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乙方（中标人）： </w:t>
      </w:r>
    </w:p>
    <w:p w14:paraId="7828DB5C">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根据《中华人民共和国民法典》、《中华人民共和国</w:t>
      </w:r>
      <w:r>
        <w:rPr>
          <w:rFonts w:hint="eastAsia" w:ascii="仿宋" w:hAnsi="仿宋" w:eastAsia="仿宋" w:cs="仿宋"/>
          <w:bCs/>
          <w:color w:val="auto"/>
          <w:sz w:val="24"/>
          <w:szCs w:val="24"/>
          <w:highlight w:val="none"/>
          <w:lang w:eastAsia="zh-CN"/>
        </w:rPr>
        <w:t>政府采购</w:t>
      </w:r>
      <w:r>
        <w:rPr>
          <w:rFonts w:hint="eastAsia" w:ascii="仿宋" w:hAnsi="仿宋" w:eastAsia="仿宋" w:cs="仿宋"/>
          <w:bCs/>
          <w:color w:val="auto"/>
          <w:sz w:val="24"/>
          <w:szCs w:val="24"/>
          <w:highlight w:val="none"/>
        </w:rPr>
        <w:t>法》及其他有关法律、法规，遵循平等、自愿、公平和诚信的原则，双方就下述工程委托与相关服务事项协商一致，订立本合同。</w:t>
      </w:r>
    </w:p>
    <w:p w14:paraId="4D0013F1">
      <w:pPr>
        <w:autoSpaceDE w:val="0"/>
        <w:autoSpaceDN w:val="0"/>
        <w:adjustRightInd w:val="0"/>
        <w:spacing w:line="48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30573D1A">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lang w:val="en-US" w:eastAsia="zh-CN"/>
        </w:rPr>
        <w:t xml:space="preserve">            （￥：     元）</w:t>
      </w:r>
      <w:r>
        <w:rPr>
          <w:rFonts w:hint="eastAsia" w:ascii="仿宋" w:hAnsi="仿宋" w:eastAsia="仿宋" w:cs="仿宋"/>
          <w:bCs/>
          <w:color w:val="auto"/>
          <w:sz w:val="24"/>
          <w:szCs w:val="24"/>
          <w:highlight w:val="none"/>
        </w:rPr>
        <w:t>。</w:t>
      </w:r>
    </w:p>
    <w:p w14:paraId="3AA82C1B">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图纸及工程量清单的全部内容</w:t>
      </w:r>
      <w:r>
        <w:rPr>
          <w:rFonts w:hint="eastAsia" w:ascii="仿宋" w:hAnsi="仿宋" w:eastAsia="仿宋" w:cs="仿宋"/>
          <w:bCs/>
          <w:color w:val="auto"/>
          <w:sz w:val="24"/>
          <w:szCs w:val="24"/>
          <w:highlight w:val="none"/>
        </w:rPr>
        <w:t>，不受市场价变化或实际工作量变化的影响。合同价格为含税价。</w:t>
      </w:r>
    </w:p>
    <w:p w14:paraId="3DA2450B">
      <w:pPr>
        <w:autoSpaceDE w:val="0"/>
        <w:autoSpaceDN w:val="0"/>
        <w:adjustRightInd w:val="0"/>
        <w:spacing w:line="48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二、结算方式</w:t>
      </w:r>
    </w:p>
    <w:p w14:paraId="195263C4">
      <w:pPr>
        <w:autoSpaceDE w:val="0"/>
        <w:autoSpaceDN w:val="0"/>
        <w:adjustRightInd w:val="0"/>
        <w:spacing w:line="48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（1）合同签订后，提供相应金额发票后，达到支付条件10</w:t>
      </w:r>
      <w:r>
        <w:rPr>
          <w:rFonts w:hint="eastAsia" w:ascii="仿宋" w:hAnsi="仿宋" w:eastAsia="仿宋" w:cs="仿宋"/>
          <w:b w:val="0"/>
          <w:bCs/>
          <w:color w:val="auto"/>
          <w:sz w:val="24"/>
          <w:szCs w:val="24"/>
          <w:highlight w:val="none"/>
          <w:lang w:val="en-US" w:eastAsia="zh-CN"/>
        </w:rPr>
        <w:t>个工作</w:t>
      </w:r>
      <w:r>
        <w:rPr>
          <w:rFonts w:hint="eastAsia" w:ascii="仿宋" w:hAnsi="仿宋" w:eastAsia="仿宋" w:cs="仿宋"/>
          <w:b w:val="0"/>
          <w:bCs/>
          <w:color w:val="auto"/>
          <w:sz w:val="24"/>
          <w:szCs w:val="24"/>
          <w:highlight w:val="none"/>
        </w:rPr>
        <w:t xml:space="preserve">日内，支付合同总金额的40%； </w:t>
      </w:r>
    </w:p>
    <w:p w14:paraId="4CF08DCC">
      <w:pPr>
        <w:autoSpaceDE w:val="0"/>
        <w:autoSpaceDN w:val="0"/>
        <w:adjustRightInd w:val="0"/>
        <w:spacing w:line="48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（2）项目验收合格，提供相应金额发票后，将相关质量证明文件交付甲方后，达到支付条件10</w:t>
      </w:r>
      <w:r>
        <w:rPr>
          <w:rFonts w:hint="eastAsia" w:ascii="仿宋" w:hAnsi="仿宋" w:eastAsia="仿宋" w:cs="仿宋"/>
          <w:b w:val="0"/>
          <w:bCs/>
          <w:color w:val="auto"/>
          <w:sz w:val="24"/>
          <w:szCs w:val="24"/>
          <w:highlight w:val="none"/>
          <w:lang w:val="en-US" w:eastAsia="zh-CN"/>
        </w:rPr>
        <w:t>个工作</w:t>
      </w:r>
      <w:r>
        <w:rPr>
          <w:rFonts w:hint="eastAsia" w:ascii="仿宋" w:hAnsi="仿宋" w:eastAsia="仿宋" w:cs="仿宋"/>
          <w:b w:val="0"/>
          <w:bCs/>
          <w:color w:val="auto"/>
          <w:sz w:val="24"/>
          <w:szCs w:val="24"/>
          <w:highlight w:val="none"/>
        </w:rPr>
        <w:t>日内，支付合同总金额的60% 。</w:t>
      </w:r>
    </w:p>
    <w:p w14:paraId="249B4D84">
      <w:pPr>
        <w:autoSpaceDE w:val="0"/>
        <w:autoSpaceDN w:val="0"/>
        <w:adjustRightInd w:val="0"/>
        <w:spacing w:line="48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5387CAA6">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（一）实施地点：甲方指定地</w:t>
      </w:r>
      <w:bookmarkStart w:id="0" w:name="_GoBack"/>
      <w:bookmarkEnd w:id="0"/>
      <w:r>
        <w:rPr>
          <w:rFonts w:hint="eastAsia" w:ascii="仿宋" w:hAnsi="仿宋" w:eastAsia="仿宋" w:cs="仿宋"/>
          <w:bCs/>
          <w:color w:val="auto"/>
          <w:sz w:val="24"/>
          <w:szCs w:val="24"/>
          <w:highlight w:val="none"/>
        </w:rPr>
        <w:t>点。</w:t>
      </w:r>
    </w:p>
    <w:p w14:paraId="7ACE8259">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lang w:val="en-US" w:eastAsia="zh-CN"/>
        </w:rPr>
        <w:t>35日历天</w:t>
      </w:r>
      <w:r>
        <w:rPr>
          <w:rFonts w:hint="eastAsia" w:ascii="仿宋" w:hAnsi="仿宋" w:eastAsia="仿宋" w:cs="仿宋"/>
          <w:bCs/>
          <w:color w:val="auto"/>
          <w:sz w:val="24"/>
          <w:szCs w:val="24"/>
          <w:highlight w:val="none"/>
        </w:rPr>
        <w:t>。</w:t>
      </w:r>
    </w:p>
    <w:p w14:paraId="7D824220">
      <w:pPr>
        <w:autoSpaceDE w:val="0"/>
        <w:autoSpaceDN w:val="0"/>
        <w:adjustRightInd w:val="0"/>
        <w:spacing w:line="48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4944630D">
      <w:pPr>
        <w:autoSpaceDE w:val="0"/>
        <w:autoSpaceDN w:val="0"/>
        <w:adjustRightInd w:val="0"/>
        <w:spacing w:line="48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28097C8">
      <w:pPr>
        <w:autoSpaceDE w:val="0"/>
        <w:autoSpaceDN w:val="0"/>
        <w:adjustRightInd w:val="0"/>
        <w:spacing w:line="48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spacing w:val="1"/>
          <w:sz w:val="24"/>
          <w:szCs w:val="24"/>
        </w:rPr>
        <w:t>达到国家现行施工验收规范“合格”标准</w:t>
      </w:r>
      <w:r>
        <w:rPr>
          <w:rFonts w:hint="eastAsia" w:ascii="仿宋" w:hAnsi="仿宋" w:eastAsia="仿宋" w:cs="仿宋"/>
          <w:color w:val="auto"/>
          <w:sz w:val="24"/>
          <w:szCs w:val="24"/>
          <w:highlight w:val="none"/>
          <w:lang w:val="zh-CN"/>
        </w:rPr>
        <w:t>。</w:t>
      </w:r>
    </w:p>
    <w:p w14:paraId="25D947CB">
      <w:pPr>
        <w:autoSpaceDE w:val="0"/>
        <w:autoSpaceDN w:val="0"/>
        <w:adjustRightInd w:val="0"/>
        <w:spacing w:line="48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（三）质量保修期：‌屋顶彩钢加盖自工程竣工验收合格之日起2年。教学楼外墙自工程竣工验收合格之日起5年</w:t>
      </w:r>
      <w:r>
        <w:rPr>
          <w:rFonts w:hint="eastAsia" w:ascii="仿宋" w:hAnsi="仿宋" w:eastAsia="仿宋" w:cs="仿宋"/>
          <w:color w:val="auto"/>
          <w:sz w:val="24"/>
          <w:szCs w:val="24"/>
          <w:highlight w:val="none"/>
          <w:lang w:val="zh-CN"/>
        </w:rPr>
        <w:t>。</w:t>
      </w:r>
    </w:p>
    <w:p w14:paraId="4553096F">
      <w:pPr>
        <w:spacing w:line="48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7EC1C57A">
      <w:pPr>
        <w:spacing w:line="48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1EE12AE7">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732A0CA4">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730F1B47">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48B9F51B">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030FDB5">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1D9683A6">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41543A4A">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1057EA01">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4D06471">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3BD34B4E">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7A6023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14384DF">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6494BF10">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5079D394">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409ECCA7">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7ED72E3C">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673C02F5">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41495DD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0B7B8FFF">
      <w:pPr>
        <w:autoSpaceDE w:val="0"/>
        <w:autoSpaceDN w:val="0"/>
        <w:adjustRightInd w:val="0"/>
        <w:spacing w:line="480" w:lineRule="auto"/>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lang w:val="zh-CN"/>
        </w:rPr>
        <w:t>违约责任</w:t>
      </w:r>
    </w:p>
    <w:p w14:paraId="18F54EBD">
      <w:pPr>
        <w:autoSpaceDE w:val="0"/>
        <w:autoSpaceDN w:val="0"/>
        <w:adjustRightInd w:val="0"/>
        <w:spacing w:line="480" w:lineRule="auto"/>
        <w:ind w:firstLine="470" w:firstLineChars="196"/>
        <w:rPr>
          <w:rFonts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承包方不得将本合同的全部或部分以任何形式转分给第三人，否则发包方有权解除合同并要求承包方承担本合同总额10%的违约金。</w:t>
      </w:r>
    </w:p>
    <w:p w14:paraId="046E6EE0">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承包方逾期完工的，每逾期一日，发包方有权按日以本合同总额的【1%】收取违约金。逾期达到【15】日（含）的，发包方有权单方解除合同，并要求承包方承担本合同总额【20%】的违约金。以上款项发包方有权在应付款项中直接扣除。</w:t>
      </w:r>
    </w:p>
    <w:p w14:paraId="1DA7395B">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0E181EA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工程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质保金，并有权解除合同。承包人应赔偿发包人本合同总金额10%的违约金，该违约金不足以弥补发包人损失的，以实际损失为准。</w:t>
      </w:r>
    </w:p>
    <w:p w14:paraId="793BD571">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工程经竣工验收不合格的，在承包人完成整改后，应当重新组织竣工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160FB1CA">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549484AE">
      <w:pPr>
        <w:spacing w:line="360" w:lineRule="auto"/>
        <w:ind w:firstLine="663" w:firstLineChars="300"/>
        <w:jc w:val="left"/>
        <w:textAlignment w:val="baseline"/>
        <w:rPr>
          <w:rFonts w:hint="eastAsia" w:ascii="仿宋" w:hAnsi="仿宋" w:eastAsia="仿宋" w:cs="仿宋"/>
          <w:b/>
          <w:color w:val="auto"/>
          <w:sz w:val="24"/>
          <w:szCs w:val="24"/>
          <w:highlight w:val="none"/>
        </w:rPr>
      </w:pPr>
      <w:r>
        <w:rPr>
          <w:rFonts w:hint="eastAsia" w:eastAsia="仿宋"/>
          <w:b/>
          <w:bCs/>
          <w:sz w:val="22"/>
          <w:szCs w:val="22"/>
          <w:lang w:val="en-US" w:eastAsia="zh-CN"/>
        </w:rPr>
        <w:t>七</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color w:val="auto"/>
          <w:sz w:val="24"/>
          <w:szCs w:val="24"/>
          <w:highlight w:val="none"/>
        </w:rPr>
        <w:t>双方权利及义务</w:t>
      </w:r>
    </w:p>
    <w:p w14:paraId="7C78FDDE">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1.甲乙双方必须遵守本合同并执行合同中的各项规定，保证本合同的正常履行。</w:t>
      </w:r>
    </w:p>
    <w:p w14:paraId="1FF4F805">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2.本合同签订后甲乙双方不得单方终止合同，如乙方违约，应退还预付款，并赔偿给甲方实际造成的损失。</w:t>
      </w:r>
    </w:p>
    <w:p w14:paraId="7CA4C526">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3.如因乙方存在以下行为，甲方有权终止合同，依法向乙方进行经济索赔，并报请政府采购监督管理机关进行相应的行政处罚。</w:t>
      </w:r>
    </w:p>
    <w:p w14:paraId="0DCBB2F3">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① 相应资质被取消；</w:t>
      </w:r>
    </w:p>
    <w:p w14:paraId="75D5ABD0">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② 存在弄虚作假、传递虚假信息等违法违规行为；</w:t>
      </w:r>
    </w:p>
    <w:p w14:paraId="23A48B68">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③ 基础设施及人员不能满足需要，提出后拒不整改；</w:t>
      </w:r>
    </w:p>
    <w:p w14:paraId="4F181F3B">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④ 网络舆情或媒体报道存在不规范操作行为；</w:t>
      </w:r>
    </w:p>
    <w:p w14:paraId="2907F21C">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⑤ 未全面履行合同义务或者发生违约。</w:t>
      </w:r>
    </w:p>
    <w:p w14:paraId="596858AB">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4.本合同未经双方同意，任何一方不得以任何形式公开本合同及附件内容，以确保双方的商业机密。</w:t>
      </w:r>
    </w:p>
    <w:p w14:paraId="4A91B45E">
      <w:pPr>
        <w:spacing w:line="360" w:lineRule="auto"/>
        <w:ind w:firstLine="631"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val="0"/>
          <w:bCs/>
          <w:color w:val="auto"/>
          <w:sz w:val="24"/>
          <w:szCs w:val="24"/>
          <w:highlight w:val="none"/>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2CEC49">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、组成合同的文件</w:t>
      </w:r>
    </w:p>
    <w:p w14:paraId="3D4A789E">
      <w:pPr>
        <w:spacing w:line="48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7C44724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6989BFAC">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通知书</w:t>
      </w:r>
    </w:p>
    <w:p w14:paraId="49B9ABE4">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文件及其附件</w:t>
      </w:r>
    </w:p>
    <w:p w14:paraId="489B1B7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投标报价</w:t>
      </w:r>
      <w:r>
        <w:rPr>
          <w:rFonts w:hint="eastAsia" w:ascii="仿宋" w:hAnsi="仿宋" w:eastAsia="仿宋" w:cs="仿宋"/>
          <w:color w:val="auto"/>
          <w:sz w:val="24"/>
          <w:szCs w:val="24"/>
          <w:highlight w:val="none"/>
        </w:rPr>
        <w:t>清单表</w:t>
      </w:r>
    </w:p>
    <w:p w14:paraId="7BF960D2">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8A38F65">
      <w:pPr>
        <w:autoSpaceDE w:val="0"/>
        <w:autoSpaceDN w:val="0"/>
        <w:adjustRightInd w:val="0"/>
        <w:spacing w:line="48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lang w:val="zh-CN"/>
        </w:rPr>
        <w:t>、验收</w:t>
      </w:r>
    </w:p>
    <w:p w14:paraId="45820DD4">
      <w:pPr>
        <w:autoSpaceDE w:val="0"/>
        <w:autoSpaceDN w:val="0"/>
        <w:adjustRightInd w:val="0"/>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300D4F8">
      <w:pPr>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088E1D7B">
      <w:pPr>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7AA7D803">
      <w:pPr>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验收依据：</w:t>
      </w:r>
    </w:p>
    <w:p w14:paraId="69D2DEFF">
      <w:pPr>
        <w:spacing w:line="48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合同、</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val="zh-CN"/>
        </w:rPr>
        <w:t>文件、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文件及承诺。</w:t>
      </w:r>
    </w:p>
    <w:p w14:paraId="5B5D9C4D">
      <w:pPr>
        <w:spacing w:line="48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国家相关</w:t>
      </w:r>
      <w:r>
        <w:rPr>
          <w:rFonts w:hint="eastAsia" w:ascii="仿宋" w:hAnsi="仿宋" w:eastAsia="仿宋" w:cs="仿宋"/>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37EAC74E">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、争议的解决方式</w:t>
      </w:r>
    </w:p>
    <w:p w14:paraId="121949C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 双方均可向项目所在地人民法院起诉。</w:t>
      </w:r>
    </w:p>
    <w:p w14:paraId="6A80F883">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十一</w:t>
      </w:r>
      <w:r>
        <w:rPr>
          <w:rFonts w:hint="eastAsia" w:ascii="仿宋" w:hAnsi="仿宋" w:eastAsia="仿宋" w:cs="仿宋"/>
          <w:b/>
          <w:color w:val="auto"/>
          <w:sz w:val="24"/>
          <w:szCs w:val="24"/>
          <w:highlight w:val="none"/>
        </w:rPr>
        <w:t>、其他</w:t>
      </w:r>
    </w:p>
    <w:p w14:paraId="7D000B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229A4302">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、附则</w:t>
      </w:r>
    </w:p>
    <w:p w14:paraId="4C6B6C8F">
      <w:pPr>
        <w:keepNext w:val="0"/>
        <w:keepLines w:val="0"/>
        <w:pageBreakBefore w:val="0"/>
        <w:widowControl w:val="0"/>
        <w:tabs>
          <w:tab w:val="left" w:pos="0"/>
        </w:tabs>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（一）本合同一式份，正本</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w:t>
      </w:r>
    </w:p>
    <w:p w14:paraId="458C440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（二）合同经双方盖章后生效，各条款执行完毕后终止。</w:t>
      </w:r>
    </w:p>
    <w:p w14:paraId="0279A1BB">
      <w:pPr>
        <w:pStyle w:val="6"/>
        <w:rPr>
          <w:rFonts w:hint="eastAsia" w:ascii="仿宋" w:hAnsi="仿宋" w:eastAsia="仿宋" w:cs="仿宋"/>
          <w:color w:val="auto"/>
          <w:sz w:val="24"/>
          <w:szCs w:val="24"/>
          <w:highlight w:val="none"/>
        </w:rPr>
      </w:pPr>
    </w:p>
    <w:p w14:paraId="0FC0DD4C">
      <w:pPr>
        <w:pStyle w:val="6"/>
        <w:rPr>
          <w:rFonts w:hint="eastAsia" w:ascii="仿宋" w:hAnsi="仿宋" w:eastAsia="仿宋" w:cs="仿宋"/>
          <w:color w:val="auto"/>
          <w:sz w:val="24"/>
          <w:szCs w:val="24"/>
          <w:highlight w:val="none"/>
        </w:rPr>
      </w:pPr>
    </w:p>
    <w:tbl>
      <w:tblPr>
        <w:tblStyle w:val="4"/>
        <w:tblW w:w="8403" w:type="dxa"/>
        <w:jc w:val="center"/>
        <w:tblLayout w:type="fixed"/>
        <w:tblCellMar>
          <w:top w:w="0" w:type="dxa"/>
          <w:left w:w="108" w:type="dxa"/>
          <w:bottom w:w="0" w:type="dxa"/>
          <w:right w:w="108" w:type="dxa"/>
        </w:tblCellMar>
      </w:tblPr>
      <w:tblGrid>
        <w:gridCol w:w="4201"/>
        <w:gridCol w:w="4202"/>
      </w:tblGrid>
      <w:tr w14:paraId="733B5C6E">
        <w:tblPrEx>
          <w:tblCellMar>
            <w:top w:w="0" w:type="dxa"/>
            <w:left w:w="108" w:type="dxa"/>
            <w:bottom w:w="0" w:type="dxa"/>
            <w:right w:w="108" w:type="dxa"/>
          </w:tblCellMar>
        </w:tblPrEx>
        <w:trPr>
          <w:trHeight w:val="567" w:hRule="exact"/>
          <w:jc w:val="center"/>
        </w:trPr>
        <w:tc>
          <w:tcPr>
            <w:tcW w:w="4201" w:type="dxa"/>
            <w:noWrap/>
            <w:vAlign w:val="center"/>
          </w:tcPr>
          <w:p w14:paraId="3EF8695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6670371">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00E1EEEC">
        <w:tblPrEx>
          <w:tblCellMar>
            <w:top w:w="0" w:type="dxa"/>
            <w:left w:w="108" w:type="dxa"/>
            <w:bottom w:w="0" w:type="dxa"/>
            <w:right w:w="108" w:type="dxa"/>
          </w:tblCellMar>
        </w:tblPrEx>
        <w:trPr>
          <w:trHeight w:val="567" w:hRule="exact"/>
          <w:jc w:val="center"/>
        </w:trPr>
        <w:tc>
          <w:tcPr>
            <w:tcW w:w="4201" w:type="dxa"/>
            <w:noWrap/>
            <w:vAlign w:val="center"/>
          </w:tcPr>
          <w:p w14:paraId="0A3C4850">
            <w:pPr>
              <w:autoSpaceDE w:val="0"/>
              <w:autoSpaceDN w:val="0"/>
              <w:adjustRightInd w:val="0"/>
              <w:spacing w:line="480" w:lineRule="auto"/>
              <w:ind w:firstLine="700" w:firstLineChars="35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31A95B27">
            <w:pPr>
              <w:autoSpaceDE w:val="0"/>
              <w:autoSpaceDN w:val="0"/>
              <w:adjustRightInd w:val="0"/>
              <w:spacing w:line="480" w:lineRule="auto"/>
              <w:ind w:firstLine="800" w:firstLineChars="4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31430C9A">
        <w:tblPrEx>
          <w:tblCellMar>
            <w:top w:w="0" w:type="dxa"/>
            <w:left w:w="108" w:type="dxa"/>
            <w:bottom w:w="0" w:type="dxa"/>
            <w:right w:w="108" w:type="dxa"/>
          </w:tblCellMar>
        </w:tblPrEx>
        <w:trPr>
          <w:trHeight w:val="567" w:hRule="exact"/>
          <w:jc w:val="center"/>
        </w:trPr>
        <w:tc>
          <w:tcPr>
            <w:tcW w:w="4201" w:type="dxa"/>
            <w:noWrap/>
            <w:vAlign w:val="center"/>
          </w:tcPr>
          <w:p w14:paraId="4BE5A282">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0869F68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36B0DB08">
        <w:tblPrEx>
          <w:tblCellMar>
            <w:top w:w="0" w:type="dxa"/>
            <w:left w:w="108" w:type="dxa"/>
            <w:bottom w:w="0" w:type="dxa"/>
            <w:right w:w="108" w:type="dxa"/>
          </w:tblCellMar>
        </w:tblPrEx>
        <w:trPr>
          <w:trHeight w:val="567" w:hRule="exact"/>
          <w:jc w:val="center"/>
        </w:trPr>
        <w:tc>
          <w:tcPr>
            <w:tcW w:w="4201" w:type="dxa"/>
            <w:noWrap/>
            <w:vAlign w:val="center"/>
          </w:tcPr>
          <w:p w14:paraId="40B50F3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30C5A07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603041DC">
        <w:tblPrEx>
          <w:tblCellMar>
            <w:top w:w="0" w:type="dxa"/>
            <w:left w:w="108" w:type="dxa"/>
            <w:bottom w:w="0" w:type="dxa"/>
            <w:right w:w="108" w:type="dxa"/>
          </w:tblCellMar>
        </w:tblPrEx>
        <w:trPr>
          <w:trHeight w:val="567" w:hRule="exact"/>
          <w:jc w:val="center"/>
        </w:trPr>
        <w:tc>
          <w:tcPr>
            <w:tcW w:w="4201" w:type="dxa"/>
            <w:noWrap/>
            <w:vAlign w:val="center"/>
          </w:tcPr>
          <w:p w14:paraId="17C5E83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法定代表人： </w:t>
            </w:r>
          </w:p>
        </w:tc>
        <w:tc>
          <w:tcPr>
            <w:tcW w:w="4202" w:type="dxa"/>
            <w:noWrap/>
            <w:vAlign w:val="center"/>
          </w:tcPr>
          <w:p w14:paraId="598C75D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p>
        </w:tc>
      </w:tr>
      <w:tr w14:paraId="1522EFB2">
        <w:tblPrEx>
          <w:tblCellMar>
            <w:top w:w="0" w:type="dxa"/>
            <w:left w:w="108" w:type="dxa"/>
            <w:bottom w:w="0" w:type="dxa"/>
            <w:right w:w="108" w:type="dxa"/>
          </w:tblCellMar>
        </w:tblPrEx>
        <w:trPr>
          <w:trHeight w:val="567" w:hRule="exact"/>
          <w:jc w:val="center"/>
        </w:trPr>
        <w:tc>
          <w:tcPr>
            <w:tcW w:w="4201" w:type="dxa"/>
            <w:noWrap/>
            <w:vAlign w:val="center"/>
          </w:tcPr>
          <w:p w14:paraId="37E90BE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w:t>
            </w:r>
          </w:p>
        </w:tc>
        <w:tc>
          <w:tcPr>
            <w:tcW w:w="4202" w:type="dxa"/>
            <w:noWrap/>
            <w:vAlign w:val="center"/>
          </w:tcPr>
          <w:p w14:paraId="6C28EE32">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w:t>
            </w:r>
          </w:p>
        </w:tc>
      </w:tr>
      <w:tr w14:paraId="4FA121B6">
        <w:tblPrEx>
          <w:tblCellMar>
            <w:top w:w="0" w:type="dxa"/>
            <w:left w:w="108" w:type="dxa"/>
            <w:bottom w:w="0" w:type="dxa"/>
            <w:right w:w="108" w:type="dxa"/>
          </w:tblCellMar>
        </w:tblPrEx>
        <w:trPr>
          <w:trHeight w:val="567" w:hRule="exact"/>
          <w:jc w:val="center"/>
        </w:trPr>
        <w:tc>
          <w:tcPr>
            <w:tcW w:w="4201" w:type="dxa"/>
            <w:noWrap/>
            <w:vAlign w:val="center"/>
          </w:tcPr>
          <w:p w14:paraId="0CD7CDF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0DA9844C">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4763CC6">
        <w:tblPrEx>
          <w:tblCellMar>
            <w:top w:w="0" w:type="dxa"/>
            <w:left w:w="108" w:type="dxa"/>
            <w:bottom w:w="0" w:type="dxa"/>
            <w:right w:w="108" w:type="dxa"/>
          </w:tblCellMar>
        </w:tblPrEx>
        <w:trPr>
          <w:trHeight w:val="567" w:hRule="exact"/>
          <w:jc w:val="center"/>
        </w:trPr>
        <w:tc>
          <w:tcPr>
            <w:tcW w:w="4201" w:type="dxa"/>
            <w:noWrap/>
            <w:vAlign w:val="center"/>
          </w:tcPr>
          <w:p w14:paraId="015397C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64DBB44F">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5E0D72B9">
        <w:tblPrEx>
          <w:tblCellMar>
            <w:top w:w="0" w:type="dxa"/>
            <w:left w:w="108" w:type="dxa"/>
            <w:bottom w:w="0" w:type="dxa"/>
            <w:right w:w="108" w:type="dxa"/>
          </w:tblCellMar>
        </w:tblPrEx>
        <w:trPr>
          <w:trHeight w:val="567" w:hRule="exact"/>
          <w:jc w:val="center"/>
        </w:trPr>
        <w:tc>
          <w:tcPr>
            <w:tcW w:w="4201" w:type="dxa"/>
            <w:noWrap/>
            <w:vAlign w:val="center"/>
          </w:tcPr>
          <w:p w14:paraId="26A5D8D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2D023731">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7D05D9A4">
        <w:tblPrEx>
          <w:tblCellMar>
            <w:top w:w="0" w:type="dxa"/>
            <w:left w:w="108" w:type="dxa"/>
            <w:bottom w:w="0" w:type="dxa"/>
            <w:right w:w="108" w:type="dxa"/>
          </w:tblCellMar>
        </w:tblPrEx>
        <w:trPr>
          <w:trHeight w:val="567" w:hRule="exact"/>
          <w:jc w:val="center"/>
        </w:trPr>
        <w:tc>
          <w:tcPr>
            <w:tcW w:w="4201" w:type="dxa"/>
            <w:noWrap/>
            <w:vAlign w:val="center"/>
          </w:tcPr>
          <w:p w14:paraId="49677088">
            <w:pPr>
              <w:autoSpaceDE w:val="0"/>
              <w:autoSpaceDN w:val="0"/>
              <w:adjustRightInd w:val="0"/>
              <w:spacing w:line="480" w:lineRule="auto"/>
              <w:rPr>
                <w:rFonts w:hint="eastAsia" w:ascii="仿宋" w:hAnsi="仿宋" w:eastAsia="仿宋" w:cs="仿宋"/>
                <w:color w:val="auto"/>
                <w:spacing w:val="-20"/>
                <w:kern w:val="0"/>
                <w:sz w:val="24"/>
                <w:szCs w:val="24"/>
                <w:highlight w:val="none"/>
                <w:lang w:eastAsia="zh-CN"/>
              </w:rPr>
            </w:pPr>
            <w:r>
              <w:rPr>
                <w:rFonts w:hint="eastAsia" w:ascii="仿宋" w:hAnsi="仿宋" w:eastAsia="仿宋" w:cs="仿宋"/>
                <w:color w:val="auto"/>
                <w:spacing w:val="-20"/>
                <w:kern w:val="0"/>
                <w:sz w:val="24"/>
                <w:szCs w:val="24"/>
                <w:highlight w:val="none"/>
              </w:rPr>
              <w:t>日期</w:t>
            </w:r>
            <w:r>
              <w:rPr>
                <w:rFonts w:hint="eastAsia" w:ascii="仿宋" w:hAnsi="仿宋" w:eastAsia="仿宋" w:cs="仿宋"/>
                <w:color w:val="auto"/>
                <w:spacing w:val="-20"/>
                <w:kern w:val="0"/>
                <w:sz w:val="24"/>
                <w:szCs w:val="24"/>
                <w:highlight w:val="none"/>
                <w:lang w:eastAsia="zh-CN"/>
              </w:rPr>
              <w:t>：</w:t>
            </w:r>
          </w:p>
        </w:tc>
        <w:tc>
          <w:tcPr>
            <w:tcW w:w="4202" w:type="dxa"/>
            <w:noWrap/>
            <w:vAlign w:val="center"/>
          </w:tcPr>
          <w:p w14:paraId="7C7B954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4F7673A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52B7B"/>
    <w:rsid w:val="0B734ACE"/>
    <w:rsid w:val="10CD1330"/>
    <w:rsid w:val="231F5A1C"/>
    <w:rsid w:val="2F907ACD"/>
    <w:rsid w:val="5167040A"/>
    <w:rsid w:val="5CB52B7B"/>
    <w:rsid w:val="63A177AC"/>
    <w:rsid w:val="6424218B"/>
    <w:rsid w:val="6B39476E"/>
    <w:rsid w:val="7F3D4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qFormat/>
    <w:uiPriority w:val="0"/>
    <w:rPr>
      <w:color w:val="993300"/>
      <w:sz w:val="24"/>
    </w:rPr>
  </w:style>
  <w:style w:type="paragraph" w:styleId="6">
    <w:name w:val="List Paragraph"/>
    <w:basedOn w:val="1"/>
    <w:qFormat/>
    <w:uiPriority w:val="34"/>
    <w:pPr>
      <w:ind w:firstLine="420" w:firstLineChars="200"/>
    </w:pPr>
    <w:rPr>
      <w:rFonts w:ascii="Calibri" w:hAnsi="Calibr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3391</Words>
  <Characters>3430</Characters>
  <Lines>0</Lines>
  <Paragraphs>0</Paragraphs>
  <TotalTime>0</TotalTime>
  <ScaleCrop>false</ScaleCrop>
  <LinksUpToDate>false</LinksUpToDate>
  <CharactersWithSpaces>3477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2026-07-09T08:19:00Z</dcterms:created>
  <dc:creator>华夏国际-招标部</dc:creator>
  <cp:lastModifiedBy>华夏国际-招标部</cp:lastModifiedBy>
  <dcterms:modified xsi:type="dcterms:W3CDTF">2026-07-09T08:24:02Z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F54AD25D1C784BFF981B04F12C0BDD87_11</vt:lpwstr>
  </property>
  <property fmtid="{D5CDD505-2E9C-101B-9397-08002B2CF9AE}" pid="4" name="KSOTemplateDocerSaveRecord">
    <vt:lpwstr>eyJoZGlkIjoiOTliZmFiMTgxMjAzMGU2Mjk0ZGExYmI2MWRhM2Y3ZjgiLCJ1c2VySWQiOiIxNTQ4NTM4NTMxIn0=</vt:lpwstr>
  </property>
</Properties>
</file>