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版本号：SYTH-ZFCG-2026-006.1B120260507001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铜川市印台区2025年地膜科学使用回收项目(二次)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SYTH-ZFCG-2026-006.1B1</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陕西晟运天弘项目管理有限公司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陕西晟运天弘项目管理有限公司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铜川市印台区2025年地膜科学使用回收项目(二次)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SYTH-ZFCG-2026-006.1B1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铜川市印台区2025年地膜科学使用回收项目(二次)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采购全生物降解地膜、加厚高强度反光膜。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采购包1（铜川市印台区2025年地膜科学使用回收项目）：属于专门面向中小企业采购。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投标单位；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投标单位；（“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3、具有履行合同所必需的设备和专业技术能力：具有履行合同所必需的设备和专业技术能力的声明；投标单位需在项目电子化交易系统中按要求上传相应证明文件并进行电子签章。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六个月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参加本次政府采购活动前3年内在经营活动中没有重大违法记录或被起诉的声明；投标单位需在项目电子化交易系统中按要求上传相应证明文件并进行电子签章。</w:t>
      </w:r>
    </w:p>
    <w:p>
      <w:pPr>
        <w:pStyle w:val="null3"/>
      </w:pPr>
      <w:r>
        <w:rPr>
          <w:rFonts w:ascii="仿宋_GB2312" w:hAnsi="仿宋_GB2312" w:cs="仿宋_GB2312" w:eastAsia="仿宋_GB2312"/>
        </w:rPr>
        <w:t>7、法定代表人证明书及授权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8、单位负责人为同一人或存在直接控股、管理关系的不同供应商，不得参加本项目中同一合同项下的政府采购活动：单位负责人为同一人或存在直接控股、管理关系的不同投标单位，不得参加本项目中同一合同项下的政府采购活动的声明；投标单位需在项目电子化交易系统中按要求上传相应证明文件并进行电子签章。</w:t>
      </w:r>
    </w:p>
    <w:p>
      <w:pPr>
        <w:pStyle w:val="null3"/>
      </w:pPr>
      <w:r>
        <w:rPr>
          <w:rFonts w:ascii="仿宋_GB2312" w:hAnsi="仿宋_GB2312" w:cs="仿宋_GB2312" w:eastAsia="仿宋_GB2312"/>
        </w:rPr>
        <w:t>9、本项目不接受联合体投标：提供本非联合体投标声明；投标单位需在项目电子化交易系统中按要求上传相应证明文件并进行电子签章。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13468793467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陕西晟运天弘项目管理有限公司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陕西省铜川市王益区河滨路粮油公司办公楼三楼北户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17791494599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采购包1：2,207,880.00元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陕西晟运天弘项目管理有限公司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陕西晟运天弘项目管理有限公司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陕西晟运天弘项目管理有限公司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联系人：肖楠</w:t>
      </w:r>
    </w:p>
    <w:p>
      <w:pPr>
        <w:pStyle w:val="null3"/>
      </w:pPr>
      <w:r>
        <w:rPr>
          <w:rFonts w:ascii="仿宋_GB2312" w:hAnsi="仿宋_GB2312" w:cs="仿宋_GB2312" w:eastAsia="仿宋_GB2312"/>
        </w:rPr>
        <w:t>联系电话：0919-2392777</w:t>
      </w:r>
    </w:p>
    <w:p>
      <w:pPr>
        <w:pStyle w:val="null3"/>
      </w:pPr>
      <w:r>
        <w:rPr>
          <w:rFonts w:ascii="仿宋_GB2312" w:hAnsi="仿宋_GB2312" w:cs="仿宋_GB2312" w:eastAsia="仿宋_GB2312"/>
        </w:rPr>
        <w:t>地址：陕西省铜川市王益区河滨路粮油公司办公楼三楼北户</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采购全生物降解地膜、加厚高强度反光膜。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2,207,880.00</w:t>
      </w:r>
    </w:p>
    <w:p>
      <w:pPr>
        <w:pStyle w:val="null3"/>
      </w:pPr>
      <w:r>
        <w:rPr>
          <w:rFonts w:ascii="仿宋_GB2312" w:hAnsi="仿宋_GB2312" w:cs="仿宋_GB2312" w:eastAsia="仿宋_GB2312"/>
        </w:rPr>
        <w:t>采购包最高限价（元）: 2,207,880.00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全生物降解地膜</w:t>
            </w:r>
          </w:p>
        </w:tc>
        <w:tc>
          <w:tcPr>
            <w:tcW w:type="dxa" w:w="831"/>
          </w:tcPr>
          <w:p>
            <w:pPr>
              <w:pStyle w:val="null3"/>
              <w:jc w:val="right"/>
            </w:pPr>
            <w:r>
              <w:rPr>
                <w:rFonts w:ascii="仿宋_GB2312" w:hAnsi="仿宋_GB2312" w:cs="仿宋_GB2312" w:eastAsia="仿宋_GB2312"/>
              </w:rPr>
              <w:t>11.60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pPr>
            <w:r>
              <w:rPr>
                <w:rFonts w:ascii="仿宋_GB2312" w:hAnsi="仿宋_GB2312" w:cs="仿宋_GB2312" w:eastAsia="仿宋_GB2312"/>
              </w:rPr>
              <w:t>吨</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加厚高强度反光膜</w:t>
            </w:r>
          </w:p>
        </w:tc>
        <w:tc>
          <w:tcPr>
            <w:tcW w:type="dxa" w:w="831"/>
          </w:tcPr>
          <w:p>
            <w:pPr>
              <w:pStyle w:val="null3"/>
              <w:jc w:val="right"/>
            </w:pPr>
            <w:r>
              <w:rPr>
                <w:rFonts w:ascii="仿宋_GB2312" w:hAnsi="仿宋_GB2312" w:cs="仿宋_GB2312" w:eastAsia="仿宋_GB2312"/>
              </w:rPr>
              <w:t>110.00</w:t>
            </w:r>
          </w:p>
        </w:tc>
        <w:tc>
          <w:tcPr>
            <w:tcW w:type="dxa" w:w="831"/>
          </w:tcPr>
          <w:p>
            <w:pPr>
              <w:pStyle w:val="null3"/>
              <w:jc w:val="right"/>
            </w:pPr>
            <w:r>
              <w:rPr>
                <w:rFonts w:ascii="仿宋_GB2312" w:hAnsi="仿宋_GB2312" w:cs="仿宋_GB2312" w:eastAsia="仿宋_GB2312"/>
              </w:rPr>
              <w:t>1,859,880.00</w:t>
            </w:r>
          </w:p>
        </w:tc>
        <w:tc>
          <w:tcPr>
            <w:tcW w:type="dxa" w:w="831"/>
          </w:tcPr>
          <w:p>
            <w:pPr>
              <w:pStyle w:val="null3"/>
            </w:pPr>
            <w:r>
              <w:rPr>
                <w:rFonts w:ascii="仿宋_GB2312" w:hAnsi="仿宋_GB2312" w:cs="仿宋_GB2312" w:eastAsia="仿宋_GB2312"/>
              </w:rPr>
              <w:t>吨</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标的名称：全生物降解地膜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全生物降解地膜符合《全生物降解农用地面覆盖薄膜》（</w:t>
            </w:r>
            <w:r>
              <w:rPr>
                <w:rFonts w:ascii="仿宋_GB2312" w:hAnsi="仿宋_GB2312" w:cs="仿宋_GB2312" w:eastAsia="仿宋_GB2312"/>
                <w:sz w:val="24"/>
                <w:color w:val="000000"/>
              </w:rPr>
              <w:t>GB/T 35795-2017）要求，产品水蒸气透过率在 400g/（m2·24h）以下，有效使用寿命在 60 天以上。需提供有资质机构出具的每批次供膜的第三方质检报告。</w:t>
            </w:r>
          </w:p>
        </w:tc>
      </w:tr>
    </w:tbl>
    <w:p>
      <w:pPr>
        <w:pStyle w:val="null3"/>
      </w:pPr>
      <w:r>
        <w:rPr>
          <w:rFonts w:ascii="仿宋_GB2312" w:hAnsi="仿宋_GB2312" w:cs="仿宋_GB2312" w:eastAsia="仿宋_GB2312"/>
        </w:rPr>
        <w:t>标的名称：加厚高强度反光膜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加厚高强度反光膜的覆盖时间和力学性能指标应不低于《聚乙烯吹塑农用地面覆盖薄膜》（</w:t>
            </w:r>
            <w:r>
              <w:rPr>
                <w:rFonts w:ascii="仿宋_GB2312" w:hAnsi="仿宋_GB2312" w:cs="仿宋_GB2312" w:eastAsia="仿宋_GB2312"/>
                <w:sz w:val="24"/>
                <w:color w:val="000000"/>
              </w:rPr>
              <w:t>GB 13735-2017）中I类耐老化地膜有关要求，其中产品标称厚度不小于0.015mm，有效覆盖使用时间不低于 180 天，且使用后最大拉伸负荷、断裂标称应变等力学性能指标不小于初始值的 50%。需提供有资质机构出具的每批次供膜的第三方质检报告。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采购物资按照招标人要求进行包装并分发至指定地点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验收合格后，项目无质量问题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投标单位未按合同要求执行、质量不能满足要求，采购人可根据投标单位的违约情况，调整投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投标单位应具备《中华人民共和国政府采购法》第二十二条规定的条件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投标单位；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投标单位；（“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六个月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法定代表人证明书及授权委托书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单位负责人为同一人或存在直接控股、管理关系的不同投标单位，不得参加本项目中同一合同项下的政府采购活动的声明；投标单位需在项目电子化交易系统中按要求上传相应证明文件并进行电子签章。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提供本非联合体投标声明；投标单位需在项目电子化交易系统中按要求上传相应证明文件并进行电子签章。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不得超过90日历天</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投标单位有具体的①备货、供货安排②供货进度保证措施 ③货物安全保障措施；评审标准：方案各部分内容全面详细、阐述条理清晰详尽、符合本项目采购需求得15分；评审内容每缺一项扣5分，扣完为止；评审内容有一项内容缺陷（缺陷是指：内容描述过于简单、条理不清晰、与项目内容不匹配、凭空编造、出现常识性错误、不可能实现的夸大情形、存在不适用项目实际情况的情形等）扣1.5-4.5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能提供所投产品的合法来源渠道证明文件（包括但不限于产品制造商授权/销售协议/代理协议/原厂授权等）的计10分，若每提供一项证明文件得2.5分，未提供不得分。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单位针对本项目的①质量保证措施②物流保障措施③运输方案④项目验收方案⑤项目团队配备方案；评审标准：方案各部分内容全面详细、阐述条理清晰详尽、符合本项目采购需求得10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单位针对本项目提的①突发事件的处理方案②响应的时效性保证措施；评审标准：方案各部分内容全面详细、阐述条理清晰详尽、符合本项目采购需求得10分；评审内容每缺一项扣5分，扣完为止；评审内容有一项内容缺陷（缺陷是指：内容描述过于简单、条理不清晰、与项目内容不匹配、凭空编造、出现常识性错误、不可能实现的夸大情形、存在不适用项目实际情况的情形等）扣1.5-4.5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单位针对本项目提出具体的培训方案，方案内容包含：①培训计划②培训人员安排；评审标准：方案各部分内容全面详细、阐述条理清晰详尽、可行性高、符合本项目采购需求得10分；评审内容每缺一项扣5分，扣完为止；评审内容有一项内容缺陷（缺陷是指：内容描述过于简单、条理不清晰、与项目内容不匹配、凭空编造、出现常识性错误、不可能实现的夸大情形、存在不适用项目实际情况的情形等）扣1.5-4.5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单位针对本项目提出具体的售后服务方案，方案内容包含：①售后服务机构地址，电话联系人②售后服务人员组织③售后服务保障措施④产品交付采购方后出现质量问题的响应时间⑤售后服务承诺；评审标准：方案各部分内容全面详细、阐述条理清晰详尽、符合本项目采购需求得10分；评审内容每缺一 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每提供1个2023年1月1日至今已完成类似项目业绩（提供中标/成交通知书或合同协议书）得2.5分，满分5分。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1、综合评分法中的价格分统一采用低价优先法计算，即满足招标文件要求且投标价格最低的投标报价为基准价，其价格分为满分30分。 2、其他投标单位的投标报价得分计算公式如下： 投标报价得分=（评标基准价／投标报价）×30；小数点后保留二位， 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