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版本号：ZYZH2026-06920260717002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留坝中学运动场主席台看台维修改造项目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ZYZH2026-069</w:t>
      </w:r>
      <w:r>
        <w:br/>
      </w:r>
      <w:r>
        <w:br/>
      </w:r>
      <w:r>
        <w:br/>
      </w:r>
    </w:p>
    <w:p>
      <w:pPr>
        <w:pStyle w:val="null3"/>
        <w:jc w:val="center"/>
        <w:outlineLvl w:val="2"/>
      </w:pPr>
      <w:r>
        <w:rPr>
          <w:rFonts w:ascii="仿宋_GB2312" w:hAnsi="仿宋_GB2312" w:cs="仿宋_GB2312" w:eastAsia="仿宋_GB2312"/>
          <w:sz w:val="28"/>
          <w:b/>
        </w:rPr>
        <w:t>留坝县中学</w:t>
      </w:r>
    </w:p>
    <w:p>
      <w:pPr>
        <w:pStyle w:val="null3"/>
        <w:jc w:val="center"/>
        <w:outlineLvl w:val="2"/>
      </w:pPr>
      <w:r>
        <w:rPr>
          <w:rFonts w:ascii="仿宋_GB2312" w:hAnsi="仿宋_GB2312" w:cs="仿宋_GB2312" w:eastAsia="仿宋_GB2312"/>
          <w:sz w:val="28"/>
          <w:b/>
        </w:rPr>
        <w:t>中亿正恒工程管理有限公司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中亿正恒工程管理有限公司</w:t>
      </w:r>
      <w:r>
        <w:rPr>
          <w:rFonts w:ascii="仿宋_GB2312" w:hAnsi="仿宋_GB2312" w:cs="仿宋_GB2312" w:eastAsia="仿宋_GB2312"/>
        </w:rPr>
        <w:t>（以下简称“代理机构”）受</w:t>
      </w:r>
      <w:r>
        <w:rPr>
          <w:rFonts w:ascii="仿宋_GB2312" w:hAnsi="仿宋_GB2312" w:cs="仿宋_GB2312" w:eastAsia="仿宋_GB2312"/>
        </w:rPr>
        <w:t>留坝县中学</w:t>
      </w:r>
      <w:r>
        <w:rPr>
          <w:rFonts w:ascii="仿宋_GB2312" w:hAnsi="仿宋_GB2312" w:cs="仿宋_GB2312" w:eastAsia="仿宋_GB2312"/>
        </w:rPr>
        <w:t>委托，拟对</w:t>
      </w:r>
      <w:r>
        <w:rPr>
          <w:rFonts w:ascii="仿宋_GB2312" w:hAnsi="仿宋_GB2312" w:cs="仿宋_GB2312" w:eastAsia="仿宋_GB2312"/>
        </w:rPr>
        <w:t>留坝中学运动场主席台看台维修改造项目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ZYZH2026-069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留坝中学运动场主席台看台维修改造项目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留坝中学运动场主席台看台维修改造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采购包1（运动场主席台看台维修改造）：属于专门面向中小企业采购。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0916-3921984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中亿正恒工程管理有限公司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河南省郑州市郑州高新技术产业开发区西三环河南省大学科技园（东区）18号楼B座5层501</w:t>
      </w:r>
    </w:p>
    <w:p>
      <w:pPr>
        <w:pStyle w:val="null3"/>
      </w:pPr>
      <w:r>
        <w:rPr>
          <w:rFonts w:ascii="仿宋_GB2312" w:hAnsi="仿宋_GB2312" w:cs="仿宋_GB2312" w:eastAsia="仿宋_GB2312"/>
        </w:rPr>
        <w:t xml:space="preserve"> 邮编： </w:t>
      </w:r>
      <w:r>
        <w:rPr>
          <w:rFonts w:ascii="仿宋_GB2312" w:hAnsi="仿宋_GB2312" w:cs="仿宋_GB2312" w:eastAsia="仿宋_GB2312"/>
        </w:rPr>
        <w:t>450000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18149292897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采购包1：832,200.00元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开户名称：中亿正恒工程管理有限公司陕西分公司</w:t>
            </w:r>
          </w:p>
          <w:p>
            <w:pPr>
              <w:pStyle w:val="null3"/>
            </w:pPr>
            <w:r>
              <w:rPr>
                <w:rFonts w:ascii="仿宋_GB2312" w:hAnsi="仿宋_GB2312" w:cs="仿宋_GB2312" w:eastAsia="仿宋_GB2312"/>
              </w:rPr>
              <w:t>开户银行：中国银行股份有限公司汉中莲湖路支行</w:t>
            </w:r>
          </w:p>
          <w:p>
            <w:pPr>
              <w:pStyle w:val="null3"/>
            </w:pPr>
            <w:r>
              <w:rPr>
                <w:rFonts w:ascii="仿宋_GB2312" w:hAnsi="仿宋_GB2312" w:cs="仿宋_GB2312" w:eastAsia="仿宋_GB2312"/>
              </w:rPr>
              <w:t>银行账号：103713630342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 3、采购代理服务费以转账形式缴纳至以下账户： 开户名称：中亿正恒工程管理有限公司陕西分公司 开户银行：中国银行股份有限公司汉中莲湖路支行 银行账号：103713630342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留坝县中学</w:t>
      </w:r>
      <w:r>
        <w:rPr>
          <w:rFonts w:ascii="仿宋_GB2312" w:hAnsi="仿宋_GB2312" w:cs="仿宋_GB2312" w:eastAsia="仿宋_GB2312"/>
        </w:rPr>
        <w:t>和</w:t>
      </w:r>
      <w:r>
        <w:rPr>
          <w:rFonts w:ascii="仿宋_GB2312" w:hAnsi="仿宋_GB2312" w:cs="仿宋_GB2312" w:eastAsia="仿宋_GB2312"/>
        </w:rPr>
        <w:t>中亿正恒工程管理有限公司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中亿正恒工程管理有限公司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中亿正恒工程管理有限公司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中亿正恒工程管理有限公司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联系电话：18149292897</w:t>
      </w:r>
    </w:p>
    <w:p>
      <w:pPr>
        <w:pStyle w:val="null3"/>
      </w:pPr>
      <w:r>
        <w:rPr>
          <w:rFonts w:ascii="仿宋_GB2312" w:hAnsi="仿宋_GB2312" w:cs="仿宋_GB2312" w:eastAsia="仿宋_GB2312"/>
        </w:rPr>
        <w:t>地址：汉中市汉台区竹园天玺办公楼16楼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832,200.00</w:t>
      </w:r>
    </w:p>
    <w:p>
      <w:pPr>
        <w:pStyle w:val="null3"/>
      </w:pPr>
      <w:r>
        <w:rPr>
          <w:rFonts w:ascii="仿宋_GB2312" w:hAnsi="仿宋_GB2312" w:cs="仿宋_GB2312" w:eastAsia="仿宋_GB2312"/>
        </w:rPr>
        <w:t>采购包最高限价（元）: 832,138.31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832,200.00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3、如竞争性磋商文件中融资相关内容与新政策要求有出入，按照最新要求执行。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3.保证金收据换取地址为:汉中市汉台区竹园天玺办公楼 16楼。 5、其他说明：工程量清单 (见附件)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 供应商认为需要说明的其他内容.docx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响应文件是否按竞争性磋商文件要求签署、盖章</w:t>
            </w:r>
          </w:p>
        </w:tc>
        <w:tc>
          <w:tcPr>
            <w:tcW w:type="dxa" w:w="3322"/>
          </w:tcPr>
          <w:p>
            <w:pPr>
              <w:pStyle w:val="null3"/>
            </w:pPr>
            <w:r>
              <w:rPr>
                <w:rFonts w:ascii="仿宋_GB2312" w:hAnsi="仿宋_GB2312" w:cs="仿宋_GB2312" w:eastAsia="仿宋_GB2312"/>
              </w:rPr>
              <w:t>应按照竞争性磋商文件要求签署、盖章</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一、评审内容：针对本项目编制完善的施工方案施工方案及技术措施 ，内容包含但不限于：①施工总体部署；②本项目实施重难点分析；③分部分项工程技术措施；④季节性施工保障措施；⑤项目验收方案；二、评审标准：1.完整性：方案必须全面，对评审内容中的各项要求有详细描述；2.可实施性：切合本项目实际情况，提出步骤清晰、合理的方案；3.针对性：方案能够紧扣项目实际情况，内容科学合理。三、赋分标准（满分15分）： ①施工总体部署：每完全满足一个评审标准得1分，满分3分；②本项目实施重难点分析：每完全满足一个评审标准得1分，满分3分；③分部分项工程技术措施：每完全满足一个评审标准得1分，满分3分；④季节性施工保障措施：每完全满足一个评审标准得1分，满分3分；⑤项目验收方案：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施工方案及技术措施.docx</w:t>
            </w:r>
          </w:p>
        </w:tc>
      </w:tr>
      <w:tr>
        <w:tc>
          <w:tcPr>
            <w:tcW w:type="dxa" w:w="831"/>
            <w:vMerge/>
          </w:tcPr>
          <w:p/>
        </w:tc>
        <w:tc>
          <w:tcPr>
            <w:tcW w:type="dxa" w:w="1661"/>
          </w:tcPr>
          <w:p>
            <w:pPr>
              <w:pStyle w:val="null3"/>
            </w:pPr>
            <w:r>
              <w:rPr>
                <w:rFonts w:ascii="仿宋_GB2312" w:hAnsi="仿宋_GB2312" w:cs="仿宋_GB2312" w:eastAsia="仿宋_GB2312"/>
              </w:rPr>
              <w:t>施工进度及工期保证措施</w:t>
            </w:r>
          </w:p>
        </w:tc>
        <w:tc>
          <w:tcPr>
            <w:tcW w:type="dxa" w:w="2492"/>
          </w:tcPr>
          <w:p>
            <w:pPr>
              <w:pStyle w:val="null3"/>
            </w:pPr>
            <w:r>
              <w:rPr>
                <w:rFonts w:ascii="仿宋_GB2312" w:hAnsi="仿宋_GB2312" w:cs="仿宋_GB2312" w:eastAsia="仿宋_GB2312"/>
              </w:rPr>
              <w:t>一、评审内容：针对本项目编制完善的施工进度计划，内容包含但不限于： ①工程施工进度计划横道；②季节性施工进度保障措施；③工期纠偏保证措施等； 二、评审标准： 1.完整性：方案必须全面，对评审内容中的各项要求有详细描述； 2.可实施性： 切合本项目实际情况，提出步骤清晰、合理的方案； 3.针对性：方案能够紧扣项目实际情况，内容科学合理。 三、赋分标准（满分9分）：①工程施工进度计划横道：每完全满足一个评审标准得1分，满分3分；②季节性施工进度保障措施：每完全满足一个评审标准得1分，满分3分； ③工期纠偏保证措施等：每完全满足一个评审标准得1分，满分3分；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施工进度及工期保证措施.docx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一、评审内容：供应商针对本项目编制完善的质量保证措施，内容包含但不限于：①质量保障体系；②施工质量检验、验收制度；③工程质量技术组织措施。 二、评审标准： 1.完整性：方案必须全面，对评审内容中的各项要求有详细描述； 2.可实施性：切合本项目实际情况，提出步骤清晰、合理的方案； 3.针对性：方案能够紧扣项目实际情况，内容科学合理。 三、赋分标准 （满分9分）：①质量保障体系：每完全满足一个评审标准得1分，满分3分；②质量检验、验收制度：每完全满足一个评审标准得1分，满分3分；③质量保证措施：每完全满足一个评审标准得1分，满分3分；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工程质量保证措施.docx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施工配备资源</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一、评审内容：供应商针对本项目编制完善的资源配置计划，内容包含但不限于：①劳动力配备计划；②施工机械配备计划；③施工材料供应计划。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施工配备资源.docx</w:t>
            </w:r>
          </w:p>
        </w:tc>
      </w:tr>
      <w:tr>
        <w:tc>
          <w:tcPr>
            <w:tcW w:type="dxa" w:w="831"/>
            <w:vMerge/>
          </w:tcPr>
          <w:p/>
        </w:tc>
        <w:tc>
          <w:tcPr>
            <w:tcW w:type="dxa" w:w="1661"/>
          </w:tcPr>
          <w:p>
            <w:pPr>
              <w:pStyle w:val="null3"/>
            </w:pPr>
            <w:r>
              <w:rPr>
                <w:rFonts w:ascii="仿宋_GB2312" w:hAnsi="仿宋_GB2312" w:cs="仿宋_GB2312" w:eastAsia="仿宋_GB2312"/>
              </w:rPr>
              <w:t>安全施工保证体系与措施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①安全施工保证体系； ②项目重大危险源辨识及控制措施； ③施工安全应急预案。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1分，满分3分；②安全施工措施：每完全满足一个评审标准得1分,满分3分；③安全应急预案：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安全施工保证体系与措施.docx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①文明施工管理体系；②文明施工现场管理措施；③施工环境保护措施。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0.5分，满分1.5分；②文明施工现场管理：每完全满足一个评审标准得0.5分，满分1.5分；③环境保护措施：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确保文明施工的技术措施及环境保护措施.docx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①团队人员岗位职责；②项目团队协调机制。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项目经理部组织机构.docx</w:t>
            </w:r>
          </w:p>
        </w:tc>
      </w:tr>
      <w:tr>
        <w:tc>
          <w:tcPr>
            <w:tcW w:type="dxa" w:w="831"/>
            <w:vMerge/>
          </w:tcPr>
          <w:p/>
        </w:tc>
        <w:tc>
          <w:tcPr>
            <w:tcW w:type="dxa" w:w="1661"/>
          </w:tcPr>
          <w:p>
            <w:pPr>
              <w:pStyle w:val="null3"/>
            </w:pPr>
            <w:r>
              <w:rPr>
                <w:rFonts w:ascii="仿宋_GB2312" w:hAnsi="仿宋_GB2312" w:cs="仿宋_GB2312" w:eastAsia="仿宋_GB2312"/>
              </w:rPr>
              <w:t>售后保修服务</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一、评审内容：结合本项目的实际，供应商应依据国家相关规定对工程质量编制保修方案，内容包含但不限于：①售后保修方案；②售后保修承诺。 二、评审标准 ： 1.完整性：内容必须全面，对评审内容中的各项要求有详细描述； 2.落实性：切合项目具体情况，提出责任明确、要求具体的方案； 3.针对性：内容能够紧扣项目实际情况，内容科学合理。 三、赋分标准（满分4.5 分）：①售后保修方案：每完全满足一个评审标准得0.5分，满分1.5分；②售后保修承诺：每完全满足一个评审标准得1分，满分3分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售后保修服务.docx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供应商具有2023年5月1日至今（以合同签订时间为准）类似项目业绩，以成交通知书或协议书（合同）原件或复印件为准，每提供一个得2分，最高得4分。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2、满足磋商文件要求且最后报价最低的报价为评标基准价，其价格分为满分。报价得分=（评标基准价／最后报价）×价格权值×100。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详见附件：安全施工保证体系与措施.docx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详见附件：工程质量保证措施.docx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详见附件：确保文明施工的技术措施及环境保护措施.docx</w:t>
      </w:r>
    </w:p>
    <w:p>
      <w:pPr>
        <w:pStyle w:val="null3"/>
        <w:ind w:firstLine="960"/>
      </w:pPr>
      <w:r>
        <w:rPr>
          <w:rFonts w:ascii="仿宋_GB2312" w:hAnsi="仿宋_GB2312" w:cs="仿宋_GB2312" w:eastAsia="仿宋_GB2312"/>
        </w:rPr>
        <w:t>详见附件：施工方案及技术措施.docx</w:t>
      </w:r>
    </w:p>
    <w:p>
      <w:pPr>
        <w:pStyle w:val="null3"/>
        <w:ind w:firstLine="960"/>
      </w:pPr>
      <w:r>
        <w:rPr>
          <w:rFonts w:ascii="仿宋_GB2312" w:hAnsi="仿宋_GB2312" w:cs="仿宋_GB2312" w:eastAsia="仿宋_GB2312"/>
        </w:rPr>
        <w:t>详见附件：施工进度及工期保证措施.docx</w:t>
      </w:r>
    </w:p>
    <w:p>
      <w:pPr>
        <w:pStyle w:val="null3"/>
        <w:ind w:firstLine="960"/>
      </w:pPr>
      <w:r>
        <w:rPr>
          <w:rFonts w:ascii="仿宋_GB2312" w:hAnsi="仿宋_GB2312" w:cs="仿宋_GB2312" w:eastAsia="仿宋_GB2312"/>
        </w:rPr>
        <w:t>详见附件：施工配备资源.docx</w:t>
      </w:r>
    </w:p>
    <w:p>
      <w:pPr>
        <w:pStyle w:val="null3"/>
        <w:ind w:firstLine="960"/>
      </w:pPr>
      <w:r>
        <w:rPr>
          <w:rFonts w:ascii="仿宋_GB2312" w:hAnsi="仿宋_GB2312" w:cs="仿宋_GB2312" w:eastAsia="仿宋_GB2312"/>
        </w:rPr>
        <w:t>详见附件：售后保修服务.docx</w:t>
      </w:r>
    </w:p>
    <w:p>
      <w:pPr>
        <w:pStyle w:val="null3"/>
        <w:ind w:firstLine="960"/>
      </w:pPr>
      <w:r>
        <w:rPr>
          <w:rFonts w:ascii="仿宋_GB2312" w:hAnsi="仿宋_GB2312" w:cs="仿宋_GB2312" w:eastAsia="仿宋_GB2312"/>
        </w:rPr>
        <w:t>详见附件：项目经理部组织机构.docx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