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版本号：LT-20260100720260703001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宁强县巩家河硫铁矿矿硐涌水处理站运维项目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LT-202601007</w:t>
      </w:r>
      <w:r>
        <w:br/>
      </w:r>
      <w:r>
        <w:br/>
      </w:r>
      <w:r>
        <w:br/>
      </w:r>
    </w:p>
    <w:p>
      <w:pPr>
        <w:pStyle w:val="null3"/>
        <w:jc w:val="center"/>
        <w:outlineLvl w:val="2"/>
      </w:pPr>
      <w:r>
        <w:rPr>
          <w:rFonts w:ascii="仿宋_GB2312" w:hAnsi="仿宋_GB2312" w:cs="仿宋_GB2312" w:eastAsia="仿宋_GB2312"/>
          <w:sz w:val="28"/>
          <w:b/>
        </w:rPr>
        <w:t>汉中市生态环境局宁强分局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汉中市生态环境局宁强分局</w:t>
      </w:r>
      <w:r>
        <w:rPr>
          <w:rFonts w:ascii="仿宋_GB2312" w:hAnsi="仿宋_GB2312" w:cs="仿宋_GB2312" w:eastAsia="仿宋_GB2312"/>
        </w:rPr>
        <w:t>委托，拟对</w:t>
      </w:r>
      <w:r>
        <w:rPr>
          <w:rFonts w:ascii="仿宋_GB2312" w:hAnsi="仿宋_GB2312" w:cs="仿宋_GB2312" w:eastAsia="仿宋_GB2312"/>
        </w:rPr>
        <w:t>宁强县巩家河硫铁矿矿硐涌水处理站运维项目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LT-202601007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宁强县巩家河硫铁矿矿硐涌水处理站运维项目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1、对巩家河硫铁矿矿硝涌⽔处理站开展运⾏维护，服务期⼀年，确保污⽔处理站正常运⾏，采购数量:1项；2、主要功能或⽬标:运维管理单位需按照相关 要求规范运维处理站，确保出⽔⽔质达到相关要求； 3、需满⾜的要求:巩家河硫铁矿矿硝涌⽔处理 站正常运⾏， ⽔质达到相关要求。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采购包1（宁强县巩家河硫铁矿矿硐涌水处理站运维项目）：属于专门面向中小企业采购。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 件）及被授权人身份证（法定代表人直接参加 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4、供应商存在的控股关系：单位负责人为同一人或者存在直接控股、管理关系的不同供应商，不得参加同一合同项下的政府采购活动;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5、非联合体投标承诺函：本项目不接受联合体投标（提供书面证明材料）。</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汉中市生态环境局宁强分局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汉中市宁强县汉源街道羌州北路中段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汉中市生态环境局宁强分局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18729633985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15319353315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采购包1：994,880.00元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开户名称：兰天项目管理有限公司汉中公公司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汉中市生态环境局宁强分局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汉中市生态环境局宁强分局</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汉中市生态环境局宁强分局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联系人：张敏</w:t>
      </w:r>
    </w:p>
    <w:p>
      <w:pPr>
        <w:pStyle w:val="null3"/>
      </w:pPr>
      <w:r>
        <w:rPr>
          <w:rFonts w:ascii="仿宋_GB2312" w:hAnsi="仿宋_GB2312" w:cs="仿宋_GB2312" w:eastAsia="仿宋_GB2312"/>
        </w:rPr>
        <w:t>联系电话：15319353315</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1、对巩家河硫铁矿矿硝涌水处理站开展运行维护；服务期一年，确保污水处理站正常运行，采购数量:1项。 2、主要功能或目标：运维管理单位需按照相关要求规范运维处理站，确保出水水质达到相 关要求。 3、需满足的要求：巩家河硫铁矿矿硝涌水处理站正常运行。水质达到相关要求。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994,880.00</w:t>
      </w:r>
    </w:p>
    <w:p>
      <w:pPr>
        <w:pStyle w:val="null3"/>
      </w:pPr>
      <w:r>
        <w:rPr>
          <w:rFonts w:ascii="仿宋_GB2312" w:hAnsi="仿宋_GB2312" w:cs="仿宋_GB2312" w:eastAsia="仿宋_GB2312"/>
        </w:rPr>
        <w:t>采购包最高限价（元）: 994,880.00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宁强县巩家河硫铁矿矿硐涌水处理站运维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994,880.00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标的名称：宁强县巩家河硫铁矿矿硐涌水处理站运维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9"/>
              <w:gridCol w:w="444"/>
              <w:gridCol w:w="1886"/>
            </w:tblGrid>
            <w:tr>
              <w:tc>
                <w:tcPr>
                  <w:tcW w:type="dxa" w:w="254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325"/>
                  </w:pPr>
                  <w:r>
                    <w:rPr>
                      <w:rFonts w:ascii="仿宋_GB2312" w:hAnsi="仿宋_GB2312" w:cs="仿宋_GB2312" w:eastAsia="仿宋_GB2312"/>
                      <w:sz w:val="52"/>
                      <w:b/>
                      <w:color w:val="000000"/>
                    </w:rPr>
                    <w:t>宁强县巩家河硫铁矿矿硐涌水处理站运维项目（一年期）</w:t>
                  </w:r>
                </w:p>
              </w:tc>
            </w:tr>
            <w:tr>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center"/>
                  </w:pPr>
                  <w:r>
                    <w:rPr>
                      <w:rFonts w:ascii="仿宋_GB2312" w:hAnsi="仿宋_GB2312" w:cs="仿宋_GB2312" w:eastAsia="仿宋_GB2312"/>
                      <w:sz w:val="28"/>
                      <w:color w:val="000000"/>
                    </w:rPr>
                    <w:t>序号</w:t>
                  </w:r>
                </w:p>
              </w:tc>
              <w:tc>
                <w:tcPr>
                  <w:tcW w:type="dxa" w:w="4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8"/>
                      <w:color w:val="000000"/>
                    </w:rPr>
                    <w:t>项</w:t>
                  </w:r>
                  <w:r>
                    <w:rPr>
                      <w:rFonts w:ascii="仿宋_GB2312" w:hAnsi="仿宋_GB2312" w:cs="仿宋_GB2312" w:eastAsia="仿宋_GB2312"/>
                      <w:sz w:val="28"/>
                      <w:color w:val="000000"/>
                    </w:rPr>
                    <w:t>目</w:t>
                  </w:r>
                </w:p>
              </w:tc>
              <w:tc>
                <w:tcPr>
                  <w:tcW w:type="dxa" w:w="18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325"/>
                    <w:jc w:val="center"/>
                  </w:pPr>
                  <w:r>
                    <w:rPr>
                      <w:rFonts w:ascii="仿宋_GB2312" w:hAnsi="仿宋_GB2312" w:cs="仿宋_GB2312" w:eastAsia="仿宋_GB2312"/>
                      <w:sz w:val="28"/>
                      <w:color w:val="000000"/>
                    </w:rPr>
                    <w:t>内容</w:t>
                  </w:r>
                </w:p>
              </w:tc>
            </w:tr>
            <w:tr>
              <w:tc>
                <w:tcPr>
                  <w:tcW w:type="dxa" w:w="254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b/>
                      <w:color w:val="000000"/>
                    </w:rPr>
                    <w:t>污水处理站运行内容</w:t>
                  </w:r>
                </w:p>
              </w:tc>
            </w:tr>
            <w:tr>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450"/>
                    <w:jc w:val="center"/>
                  </w:pPr>
                  <w:r>
                    <w:rPr>
                      <w:rFonts w:ascii="仿宋_GB2312" w:hAnsi="仿宋_GB2312" w:cs="仿宋_GB2312" w:eastAsia="仿宋_GB2312"/>
                      <w:sz w:val="28"/>
                      <w:color w:val="000000"/>
                    </w:rPr>
                    <w:t>1</w:t>
                  </w:r>
                </w:p>
              </w:tc>
              <w:tc>
                <w:tcPr>
                  <w:tcW w:type="dxa" w:w="4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8"/>
                      <w:color w:val="000000"/>
                    </w:rPr>
                    <w:t>设备设施维修保养</w:t>
                  </w:r>
                </w:p>
              </w:tc>
              <w:tc>
                <w:tcPr>
                  <w:tcW w:type="dxa" w:w="18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05" w:right="30"/>
                    <w:jc w:val="center"/>
                  </w:pPr>
                  <w:r>
                    <w:rPr>
                      <w:rFonts w:ascii="仿宋_GB2312" w:hAnsi="仿宋_GB2312" w:cs="仿宋_GB2312" w:eastAsia="仿宋_GB2312"/>
                      <w:sz w:val="28"/>
                      <w:color w:val="000000"/>
                    </w:rPr>
                    <w:t>站内设备日常的维修保养、更换易损件、添加润</w:t>
                  </w:r>
                  <w:r>
                    <w:rPr>
                      <w:rFonts w:ascii="仿宋_GB2312" w:hAnsi="仿宋_GB2312" w:cs="仿宋_GB2312" w:eastAsia="仿宋_GB2312"/>
                      <w:sz w:val="28"/>
                      <w:color w:val="000000"/>
                    </w:rPr>
                    <w:t>滑油等</w:t>
                  </w:r>
                </w:p>
              </w:tc>
            </w:tr>
            <w:tr>
              <w:tc>
                <w:tcPr>
                  <w:tcW w:type="dxa" w:w="21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2</w:t>
                  </w:r>
                </w:p>
              </w:tc>
              <w:tc>
                <w:tcPr>
                  <w:tcW w:type="dxa" w:w="44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药剂</w:t>
                  </w: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8"/>
                      <w:color w:val="000000"/>
                    </w:rPr>
                    <w:t>石灰</w:t>
                  </w:r>
                </w:p>
              </w:tc>
            </w:tr>
            <w:tr>
              <w:tc>
                <w:tcPr>
                  <w:tcW w:type="dxa" w:w="219"/>
                  <w:vMerge/>
                  <w:tcBorders>
                    <w:top w:val="none" w:color="000000" w:sz="4"/>
                    <w:left w:val="single" w:color="000000" w:sz="4"/>
                    <w:bottom w:val="none" w:color="000000" w:sz="4"/>
                    <w:right w:val="single" w:color="000000" w:sz="4"/>
                  </w:tcBorders>
                </w:tcPr>
                <w:p/>
              </w:tc>
              <w:tc>
                <w:tcPr>
                  <w:tcW w:type="dxa" w:w="444"/>
                  <w:vMerge/>
                  <w:tcBorders>
                    <w:top w:val="none" w:color="000000" w:sz="4"/>
                    <w:left w:val="single" w:color="000000" w:sz="4"/>
                    <w:bottom w:val="none" w:color="000000" w:sz="4"/>
                    <w:right w:val="single" w:color="000000" w:sz="4"/>
                  </w:tcBorders>
                </w:tcP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8"/>
                      <w:color w:val="000000"/>
                    </w:rPr>
                    <w:t>PAC</w:t>
                  </w:r>
                </w:p>
              </w:tc>
            </w:tr>
            <w:tr>
              <w:tc>
                <w:tcPr>
                  <w:tcW w:type="dxa" w:w="219"/>
                  <w:vMerge/>
                  <w:tcBorders>
                    <w:top w:val="none" w:color="000000" w:sz="4"/>
                    <w:left w:val="single" w:color="000000" w:sz="4"/>
                    <w:bottom w:val="none" w:color="000000" w:sz="4"/>
                    <w:right w:val="single" w:color="000000" w:sz="4"/>
                  </w:tcBorders>
                </w:tcPr>
                <w:p/>
              </w:tc>
              <w:tc>
                <w:tcPr>
                  <w:tcW w:type="dxa" w:w="444"/>
                  <w:vMerge/>
                  <w:tcBorders>
                    <w:top w:val="none" w:color="000000" w:sz="4"/>
                    <w:left w:val="single" w:color="000000" w:sz="4"/>
                    <w:bottom w:val="none" w:color="000000" w:sz="4"/>
                    <w:right w:val="single" w:color="000000" w:sz="4"/>
                  </w:tcBorders>
                </w:tcP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8"/>
                      <w:color w:val="000000"/>
                    </w:rPr>
                    <w:t>PAM</w:t>
                  </w:r>
                </w:p>
              </w:tc>
            </w:tr>
            <w:tr>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0"/>
                    <w:jc w:val="center"/>
                  </w:pPr>
                  <w:r>
                    <w:rPr>
                      <w:rFonts w:ascii="仿宋_GB2312" w:hAnsi="仿宋_GB2312" w:cs="仿宋_GB2312" w:eastAsia="仿宋_GB2312"/>
                      <w:sz w:val="28"/>
                      <w:color w:val="000000"/>
                    </w:rPr>
                    <w:t>3</w:t>
                  </w:r>
                </w:p>
              </w:tc>
              <w:tc>
                <w:tcPr>
                  <w:tcW w:type="dxa" w:w="4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color w:val="000000"/>
                    </w:rPr>
                    <w:t>人工</w:t>
                  </w: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785"/>
                    <w:jc w:val="center"/>
                  </w:pPr>
                  <w:r>
                    <w:rPr>
                      <w:rFonts w:ascii="仿宋_GB2312" w:hAnsi="仿宋_GB2312" w:cs="仿宋_GB2312" w:eastAsia="仿宋_GB2312"/>
                      <w:sz w:val="28"/>
                      <w:color w:val="000000"/>
                    </w:rPr>
                    <w:t>2人(全年驻站)</w:t>
                  </w:r>
                </w:p>
              </w:tc>
            </w:tr>
            <w:tr>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50"/>
                    <w:jc w:val="center"/>
                  </w:pPr>
                  <w:r>
                    <w:rPr>
                      <w:rFonts w:ascii="仿宋_GB2312" w:hAnsi="仿宋_GB2312" w:cs="仿宋_GB2312" w:eastAsia="仿宋_GB2312"/>
                      <w:sz w:val="28"/>
                      <w:color w:val="000000"/>
                    </w:rPr>
                    <w:t>4</w:t>
                  </w:r>
                </w:p>
              </w:tc>
              <w:tc>
                <w:tcPr>
                  <w:tcW w:type="dxa" w:w="4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8"/>
                      <w:color w:val="000000"/>
                    </w:rPr>
                    <w:t>车辆</w:t>
                  </w: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405"/>
                    <w:jc w:val="center"/>
                  </w:pPr>
                  <w:r>
                    <w:rPr>
                      <w:rFonts w:ascii="仿宋_GB2312" w:hAnsi="仿宋_GB2312" w:cs="仿宋_GB2312" w:eastAsia="仿宋_GB2312"/>
                      <w:sz w:val="28"/>
                      <w:color w:val="000000"/>
                    </w:rPr>
                    <w:t>日常车辆每天使用（保养、加油、保险）</w:t>
                  </w:r>
                </w:p>
              </w:tc>
            </w:tr>
            <w:tr>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0"/>
                    <w:jc w:val="center"/>
                  </w:pPr>
                  <w:r>
                    <w:rPr>
                      <w:rFonts w:ascii="仿宋_GB2312" w:hAnsi="仿宋_GB2312" w:cs="仿宋_GB2312" w:eastAsia="仿宋_GB2312"/>
                      <w:sz w:val="28"/>
                      <w:color w:val="000000"/>
                    </w:rPr>
                    <w:t>5</w:t>
                  </w:r>
                </w:p>
              </w:tc>
              <w:tc>
                <w:tcPr>
                  <w:tcW w:type="dxa" w:w="4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8"/>
                      <w:color w:val="000000"/>
                    </w:rPr>
                    <w:t>电费</w:t>
                  </w: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1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6</w:t>
                  </w:r>
                </w:p>
              </w:tc>
              <w:tc>
                <w:tcPr>
                  <w:tcW w:type="dxa" w:w="44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color w:val="000000"/>
                    </w:rPr>
                    <w:t>污泥处置</w:t>
                  </w: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8"/>
                      <w:color w:val="000000"/>
                    </w:rPr>
                    <w:t>定期转运污泥</w:t>
                  </w:r>
                </w:p>
              </w:tc>
            </w:tr>
            <w:tr>
              <w:tc>
                <w:tcPr>
                  <w:tcW w:type="dxa" w:w="219"/>
                  <w:vMerge/>
                  <w:tcBorders>
                    <w:top w:val="none" w:color="000000" w:sz="4"/>
                    <w:left w:val="single" w:color="000000" w:sz="4"/>
                    <w:bottom w:val="none" w:color="000000" w:sz="4"/>
                    <w:right w:val="single" w:color="000000" w:sz="4"/>
                  </w:tcBorders>
                </w:tcPr>
                <w:p/>
              </w:tc>
              <w:tc>
                <w:tcPr>
                  <w:tcW w:type="dxa" w:w="444"/>
                  <w:vMerge/>
                  <w:tcBorders>
                    <w:top w:val="none" w:color="000000" w:sz="4"/>
                    <w:left w:val="single" w:color="000000" w:sz="4"/>
                    <w:bottom w:val="none" w:color="000000" w:sz="4"/>
                    <w:right w:val="single" w:color="000000" w:sz="4"/>
                  </w:tcBorders>
                </w:tcP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center"/>
                  </w:pPr>
                  <w:r>
                    <w:rPr>
                      <w:rFonts w:ascii="仿宋_GB2312" w:hAnsi="仿宋_GB2312" w:cs="仿宋_GB2312" w:eastAsia="仿宋_GB2312"/>
                      <w:sz w:val="28"/>
                      <w:color w:val="000000"/>
                    </w:rPr>
                    <w:t>依据水站运行情况，每季度至少进行一次池体全</w:t>
                  </w:r>
                  <w:r>
                    <w:rPr>
                      <w:rFonts w:ascii="仿宋_GB2312" w:hAnsi="仿宋_GB2312" w:cs="仿宋_GB2312" w:eastAsia="仿宋_GB2312"/>
                      <w:sz w:val="28"/>
                      <w:color w:val="000000"/>
                    </w:rPr>
                    <w:t>面清淤及管道疏通工作。</w:t>
                  </w:r>
                  <w:r>
                    <w:rPr>
                      <w:rFonts w:ascii="仿宋_GB2312" w:hAnsi="仿宋_GB2312" w:cs="仿宋_GB2312" w:eastAsia="仿宋_GB2312"/>
                      <w:sz w:val="28"/>
                      <w:color w:val="000000"/>
                    </w:rPr>
                    <w:t>(调节池、反应池、絮</w:t>
                  </w:r>
                  <w:r>
                    <w:rPr>
                      <w:rFonts w:ascii="仿宋_GB2312" w:hAnsi="仿宋_GB2312" w:cs="仿宋_GB2312" w:eastAsia="仿宋_GB2312"/>
                      <w:sz w:val="28"/>
                      <w:color w:val="000000"/>
                    </w:rPr>
                    <w:t>凝沉淀池、中间水池、清水池等</w:t>
                  </w:r>
                  <w:r>
                    <w:rPr>
                      <w:rFonts w:ascii="仿宋_GB2312" w:hAnsi="仿宋_GB2312" w:cs="仿宋_GB2312" w:eastAsia="仿宋_GB2312"/>
                      <w:sz w:val="28"/>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450"/>
                    <w:jc w:val="center"/>
                  </w:pPr>
                  <w:r>
                    <w:rPr>
                      <w:rFonts w:ascii="仿宋_GB2312" w:hAnsi="仿宋_GB2312" w:cs="仿宋_GB2312" w:eastAsia="仿宋_GB2312"/>
                      <w:sz w:val="28"/>
                      <w:color w:val="000000"/>
                    </w:rPr>
                    <w:t>7</w:t>
                  </w:r>
                </w:p>
              </w:tc>
              <w:tc>
                <w:tcPr>
                  <w:tcW w:type="dxa" w:w="4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8"/>
                      <w:color w:val="000000"/>
                    </w:rPr>
                    <w:t>水质监测</w:t>
                  </w:r>
                </w:p>
              </w:tc>
              <w:tc>
                <w:tcPr>
                  <w:tcW w:type="dxa" w:w="1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05" w:right="45"/>
                    <w:jc w:val="center"/>
                  </w:pPr>
                  <w:r>
                    <w:rPr>
                      <w:rFonts w:ascii="仿宋_GB2312" w:hAnsi="仿宋_GB2312" w:cs="仿宋_GB2312" w:eastAsia="仿宋_GB2312"/>
                      <w:sz w:val="28"/>
                      <w:color w:val="000000"/>
                    </w:rPr>
                    <w:t>手工监测：</w:t>
                  </w:r>
                  <w:r>
                    <w:rPr>
                      <w:rFonts w:ascii="仿宋_GB2312" w:hAnsi="仿宋_GB2312" w:cs="仿宋_GB2312" w:eastAsia="仿宋_GB2312"/>
                      <w:sz w:val="28"/>
                      <w:color w:val="000000"/>
                    </w:rPr>
                    <w:t>PH</w:t>
                  </w:r>
                  <w:r>
                    <w:rPr>
                      <w:rFonts w:ascii="仿宋_GB2312" w:hAnsi="仿宋_GB2312" w:cs="仿宋_GB2312" w:eastAsia="仿宋_GB2312"/>
                      <w:sz w:val="28"/>
                      <w:color w:val="000000"/>
                    </w:rPr>
                    <w:t>、水温、铁、锰、铜、锌、</w:t>
                  </w:r>
                  <w:r>
                    <w:rPr>
                      <w:rFonts w:ascii="仿宋_GB2312" w:hAnsi="仿宋_GB2312" w:cs="仿宋_GB2312" w:eastAsia="仿宋_GB2312"/>
                      <w:sz w:val="28"/>
                      <w:color w:val="000000"/>
                    </w:rPr>
                    <w:t>SS</w:t>
                  </w:r>
                  <w:r>
                    <w:rPr>
                      <w:rFonts w:ascii="仿宋_GB2312" w:hAnsi="仿宋_GB2312" w:cs="仿宋_GB2312" w:eastAsia="仿宋_GB2312"/>
                      <w:sz w:val="28"/>
                      <w:color w:val="000000"/>
                    </w:rPr>
                    <w:t>、</w:t>
                  </w:r>
                  <w:r>
                    <w:rPr>
                      <w:rFonts w:ascii="仿宋_GB2312" w:hAnsi="仿宋_GB2312" w:cs="仿宋_GB2312" w:eastAsia="仿宋_GB2312"/>
                    </w:rPr>
                    <w:t xml:space="preserve"> </w:t>
                  </w:r>
                  <w:r>
                    <w:rPr>
                      <w:rFonts w:ascii="仿宋_GB2312" w:hAnsi="仿宋_GB2312" w:cs="仿宋_GB2312" w:eastAsia="仿宋_GB2312"/>
                      <w:sz w:val="28"/>
                      <w:color w:val="000000"/>
                    </w:rPr>
                    <w:t>COD、氨氮；4次/年，4个点位</w:t>
                  </w:r>
                </w:p>
              </w:tc>
            </w:tr>
          </w:tbl>
          <w:tbl>
            <w:tblPr>
              <w:tblInd w:type="dxa" w:w="120"/>
              <w:tblBorders>
                <w:top w:val="none" w:color="000000" w:sz="4"/>
                <w:left w:val="none" w:color="000000" w:sz="4"/>
                <w:bottom w:val="none" w:color="000000" w:sz="4"/>
                <w:right w:val="none" w:color="000000" w:sz="4"/>
                <w:insideH w:val="none"/>
                <w:insideV w:val="none"/>
              </w:tblBorders>
            </w:tblPr>
            <w:tblGrid>
              <w:gridCol w:w="298"/>
              <w:gridCol w:w="2252"/>
            </w:tblGrid>
            <w:tr>
              <w:tc>
                <w:tcPr>
                  <w:tcW w:type="dxa" w:w="2550"/>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b/>
                      <w:color w:val="000000"/>
                    </w:rPr>
                    <w:t>在线监测设备运行内容</w:t>
                  </w:r>
                </w:p>
              </w:tc>
            </w:tr>
            <w:tr>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8</w:t>
                  </w:r>
                </w:p>
              </w:tc>
              <w:tc>
                <w:tcPr>
                  <w:tcW w:type="dxa" w:w="22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在线监测</w:t>
                  </w:r>
                  <w:r>
                    <w:rPr>
                      <w:rFonts w:ascii="仿宋_GB2312" w:hAnsi="仿宋_GB2312" w:cs="仿宋_GB2312" w:eastAsia="仿宋_GB2312"/>
                      <w:sz w:val="28"/>
                      <w:color w:val="000000"/>
                    </w:rPr>
                    <w:t>(铁)1台</w:t>
                  </w:r>
                  <w:r>
                    <w:rPr>
                      <w:rFonts w:ascii="仿宋_GB2312" w:hAnsi="仿宋_GB2312" w:cs="仿宋_GB2312" w:eastAsia="仿宋_GB2312"/>
                      <w:sz w:val="28"/>
                      <w:color w:val="000000"/>
                    </w:rPr>
                    <w:t>、</w:t>
                  </w:r>
                  <w:r>
                    <w:rPr>
                      <w:rFonts w:ascii="仿宋_GB2312" w:hAnsi="仿宋_GB2312" w:cs="仿宋_GB2312" w:eastAsia="仿宋_GB2312"/>
                      <w:sz w:val="28"/>
                      <w:color w:val="000000"/>
                    </w:rPr>
                    <w:t>在线监测</w:t>
                  </w:r>
                  <w:r>
                    <w:rPr>
                      <w:rFonts w:ascii="仿宋_GB2312" w:hAnsi="仿宋_GB2312" w:cs="仿宋_GB2312" w:eastAsia="仿宋_GB2312"/>
                      <w:sz w:val="28"/>
                      <w:color w:val="000000"/>
                    </w:rPr>
                    <w:t>(锰)1台</w:t>
                  </w:r>
                  <w:r>
                    <w:rPr>
                      <w:rFonts w:ascii="仿宋_GB2312" w:hAnsi="仿宋_GB2312" w:cs="仿宋_GB2312" w:eastAsia="仿宋_GB2312"/>
                      <w:sz w:val="28"/>
                      <w:color w:val="000000"/>
                    </w:rPr>
                    <w:t>、</w:t>
                  </w:r>
                  <w:r>
                    <w:rPr>
                      <w:rFonts w:ascii="仿宋_GB2312" w:hAnsi="仿宋_GB2312" w:cs="仿宋_GB2312" w:eastAsia="仿宋_GB2312"/>
                      <w:sz w:val="28"/>
                      <w:color w:val="000000"/>
                    </w:rPr>
                    <w:t>在线监测</w:t>
                  </w:r>
                  <w:r>
                    <w:rPr>
                      <w:rFonts w:ascii="仿宋_GB2312" w:hAnsi="仿宋_GB2312" w:cs="仿宋_GB2312" w:eastAsia="仿宋_GB2312"/>
                      <w:sz w:val="28"/>
                      <w:color w:val="000000"/>
                    </w:rPr>
                    <w:t>(铜)1台</w:t>
                  </w:r>
                  <w:r>
                    <w:rPr>
                      <w:rFonts w:ascii="仿宋_GB2312" w:hAnsi="仿宋_GB2312" w:cs="仿宋_GB2312" w:eastAsia="仿宋_GB2312"/>
                      <w:sz w:val="28"/>
                      <w:color w:val="000000"/>
                    </w:rPr>
                    <w:t>、</w:t>
                  </w:r>
                  <w:r>
                    <w:rPr>
                      <w:rFonts w:ascii="仿宋_GB2312" w:hAnsi="仿宋_GB2312" w:cs="仿宋_GB2312" w:eastAsia="仿宋_GB2312"/>
                      <w:sz w:val="28"/>
                      <w:color w:val="000000"/>
                    </w:rPr>
                    <w:t>在线监测</w:t>
                  </w:r>
                  <w:r>
                    <w:rPr>
                      <w:rFonts w:ascii="仿宋_GB2312" w:hAnsi="仿宋_GB2312" w:cs="仿宋_GB2312" w:eastAsia="仿宋_GB2312"/>
                      <w:sz w:val="28"/>
                      <w:color w:val="000000"/>
                    </w:rPr>
                    <w:t>(锌)1台</w:t>
                  </w:r>
                  <w:r>
                    <w:rPr>
                      <w:rFonts w:ascii="仿宋_GB2312" w:hAnsi="仿宋_GB2312" w:cs="仿宋_GB2312" w:eastAsia="仿宋_GB2312"/>
                      <w:sz w:val="28"/>
                      <w:color w:val="000000"/>
                    </w:rPr>
                    <w:t>、</w:t>
                  </w:r>
                  <w:r>
                    <w:rPr>
                      <w:rFonts w:ascii="仿宋_GB2312" w:hAnsi="仿宋_GB2312" w:cs="仿宋_GB2312" w:eastAsia="仿宋_GB2312"/>
                      <w:sz w:val="28"/>
                      <w:color w:val="000000"/>
                    </w:rPr>
                    <w:t>流量计</w:t>
                  </w:r>
                  <w:r>
                    <w:rPr>
                      <w:rFonts w:ascii="仿宋_GB2312" w:hAnsi="仿宋_GB2312" w:cs="仿宋_GB2312" w:eastAsia="仿宋_GB2312"/>
                      <w:sz w:val="28"/>
                      <w:color w:val="000000"/>
                    </w:rPr>
                    <w:t>(1台)</w:t>
                  </w:r>
                  <w:r>
                    <w:rPr>
                      <w:rFonts w:ascii="仿宋_GB2312" w:hAnsi="仿宋_GB2312" w:cs="仿宋_GB2312" w:eastAsia="仿宋_GB2312"/>
                      <w:sz w:val="28"/>
                      <w:color w:val="000000"/>
                    </w:rPr>
                    <w:t>、</w:t>
                  </w:r>
                  <w:r>
                    <w:rPr>
                      <w:rFonts w:ascii="仿宋_GB2312" w:hAnsi="仿宋_GB2312" w:cs="仿宋_GB2312" w:eastAsia="仿宋_GB2312"/>
                      <w:sz w:val="28"/>
                      <w:color w:val="000000"/>
                    </w:rPr>
                    <w:t>PH(5台)</w:t>
                  </w:r>
                </w:p>
              </w:tc>
            </w:tr>
            <w:tr>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9</w:t>
                  </w:r>
                </w:p>
              </w:tc>
              <w:tc>
                <w:tcPr>
                  <w:tcW w:type="dxa" w:w="2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危废危险废物处理</w:t>
                  </w:r>
                  <w:r>
                    <w:rPr>
                      <w:rFonts w:ascii="仿宋_GB2312" w:hAnsi="仿宋_GB2312" w:cs="仿宋_GB2312" w:eastAsia="仿宋_GB2312"/>
                      <w:sz w:val="28"/>
                      <w:color w:val="000000"/>
                    </w:rPr>
                    <w:t>(废液)</w:t>
                  </w:r>
                </w:p>
              </w:tc>
            </w:tr>
            <w:tr>
              <w:tc>
                <w:tcPr>
                  <w:tcW w:type="dxa" w:w="255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说明</w:t>
                  </w:r>
                </w:p>
                <w:p>
                  <w:pPr>
                    <w:pStyle w:val="null3"/>
                    <w:jc w:val="left"/>
                  </w:pPr>
                  <w:r>
                    <w:rPr>
                      <w:rFonts w:ascii="仿宋_GB2312" w:hAnsi="仿宋_GB2312" w:cs="仿宋_GB2312" w:eastAsia="仿宋_GB2312"/>
                      <w:sz w:val="28"/>
                      <w:color w:val="000000"/>
                    </w:rPr>
                    <w:t>1.每周：</w:t>
                  </w:r>
                </w:p>
                <w:p>
                  <w:pPr>
                    <w:pStyle w:val="null3"/>
                    <w:jc w:val="left"/>
                  </w:pPr>
                  <w:r>
                    <w:rPr>
                      <w:rFonts w:ascii="仿宋_GB2312" w:hAnsi="仿宋_GB2312" w:cs="仿宋_GB2312" w:eastAsia="仿宋_GB2312"/>
                      <w:sz w:val="28"/>
                      <w:color w:val="000000"/>
                    </w:rPr>
                    <w:t>设备</w:t>
                  </w:r>
                  <w:r>
                    <w:rPr>
                      <w:rFonts w:ascii="仿宋_GB2312" w:hAnsi="仿宋_GB2312" w:cs="仿宋_GB2312" w:eastAsia="仿宋_GB2312"/>
                      <w:sz w:val="28"/>
                      <w:color w:val="000000"/>
                    </w:rPr>
                    <w:t>校准</w:t>
                  </w:r>
                  <w:r>
                    <w:rPr>
                      <w:rFonts w:ascii="仿宋_GB2312" w:hAnsi="仿宋_GB2312" w:cs="仿宋_GB2312" w:eastAsia="仿宋_GB2312"/>
                      <w:sz w:val="28"/>
                      <w:color w:val="000000"/>
                    </w:rPr>
                    <w:t>：</w:t>
                  </w:r>
                  <w:r>
                    <w:rPr>
                      <w:rFonts w:ascii="仿宋_GB2312" w:hAnsi="仿宋_GB2312" w:cs="仿宋_GB2312" w:eastAsia="仿宋_GB2312"/>
                      <w:sz w:val="28"/>
                      <w:color w:val="000000"/>
                    </w:rPr>
                    <w:t>(零点，量程)、标样核查(标准样测试)</w:t>
                  </w:r>
                </w:p>
                <w:p>
                  <w:pPr>
                    <w:pStyle w:val="null3"/>
                    <w:jc w:val="left"/>
                  </w:pPr>
                  <w:r>
                    <w:rPr>
                      <w:rFonts w:ascii="仿宋_GB2312" w:hAnsi="仿宋_GB2312" w:cs="仿宋_GB2312" w:eastAsia="仿宋_GB2312"/>
                      <w:sz w:val="28"/>
                      <w:color w:val="000000"/>
                    </w:rPr>
                    <w:t>清洁仪器：</w:t>
                  </w:r>
                  <w:r>
                    <w:rPr>
                      <w:rFonts w:ascii="仿宋_GB2312" w:hAnsi="仿宋_GB2312" w:cs="仿宋_GB2312" w:eastAsia="仿宋_GB2312"/>
                      <w:sz w:val="28"/>
                      <w:color w:val="000000"/>
                    </w:rPr>
                    <w:t>(进样口、流通池、光学镜头、检查蠕动泵、电磁阀)</w:t>
                  </w:r>
                </w:p>
                <w:p>
                  <w:pPr>
                    <w:pStyle w:val="null3"/>
                    <w:jc w:val="left"/>
                  </w:pPr>
                  <w:r>
                    <w:rPr>
                      <w:rFonts w:ascii="仿宋_GB2312" w:hAnsi="仿宋_GB2312" w:cs="仿宋_GB2312" w:eastAsia="仿宋_GB2312"/>
                      <w:sz w:val="28"/>
                      <w:color w:val="000000"/>
                    </w:rPr>
                    <w:t>管路接头：</w:t>
                  </w:r>
                  <w:r>
                    <w:rPr>
                      <w:rFonts w:ascii="仿宋_GB2312" w:hAnsi="仿宋_GB2312" w:cs="仿宋_GB2312" w:eastAsia="仿宋_GB2312"/>
                      <w:sz w:val="28"/>
                      <w:color w:val="000000"/>
                    </w:rPr>
                    <w:t>(无渗漏、无老化)</w:t>
                  </w:r>
                </w:p>
                <w:p>
                  <w:pPr>
                    <w:pStyle w:val="null3"/>
                    <w:jc w:val="left"/>
                  </w:pPr>
                  <w:r>
                    <w:rPr>
                      <w:rFonts w:ascii="仿宋_GB2312" w:hAnsi="仿宋_GB2312" w:cs="仿宋_GB2312" w:eastAsia="仿宋_GB2312"/>
                      <w:sz w:val="28"/>
                      <w:color w:val="000000"/>
                    </w:rPr>
                    <w:t>维护电极：</w:t>
                  </w:r>
                  <w:r>
                    <w:rPr>
                      <w:rFonts w:ascii="仿宋_GB2312" w:hAnsi="仿宋_GB2312" w:cs="仿宋_GB2312" w:eastAsia="仿宋_GB2312"/>
                      <w:sz w:val="28"/>
                      <w:color w:val="000000"/>
                    </w:rPr>
                    <w:t>(现场在线设施探头等)</w:t>
                  </w:r>
                </w:p>
                <w:p>
                  <w:pPr>
                    <w:pStyle w:val="null3"/>
                    <w:jc w:val="left"/>
                  </w:pPr>
                  <w:r>
                    <w:rPr>
                      <w:rFonts w:ascii="仿宋_GB2312" w:hAnsi="仿宋_GB2312" w:cs="仿宋_GB2312" w:eastAsia="仿宋_GB2312"/>
                      <w:sz w:val="28"/>
                      <w:color w:val="000000"/>
                    </w:rPr>
                    <w:t>核对系统时间、采样周期、报警阈值：</w:t>
                  </w:r>
                  <w:r>
                    <w:rPr>
                      <w:rFonts w:ascii="仿宋_GB2312" w:hAnsi="仿宋_GB2312" w:cs="仿宋_GB2312" w:eastAsia="仿宋_GB2312"/>
                      <w:sz w:val="28"/>
                      <w:color w:val="000000"/>
                    </w:rPr>
                    <w:t>(参数正确等)</w:t>
                  </w:r>
                </w:p>
                <w:p>
                  <w:pPr>
                    <w:pStyle w:val="null3"/>
                    <w:jc w:val="left"/>
                  </w:pPr>
                  <w:r>
                    <w:rPr>
                      <w:rFonts w:ascii="仿宋_GB2312" w:hAnsi="仿宋_GB2312" w:cs="仿宋_GB2312" w:eastAsia="仿宋_GB2312"/>
                      <w:sz w:val="28"/>
                      <w:color w:val="000000"/>
                    </w:rPr>
                    <w:t>运维台账：</w:t>
                  </w:r>
                  <w:r>
                    <w:rPr>
                      <w:rFonts w:ascii="仿宋_GB2312" w:hAnsi="仿宋_GB2312" w:cs="仿宋_GB2312" w:eastAsia="仿宋_GB2312"/>
                      <w:sz w:val="28"/>
                      <w:color w:val="000000"/>
                    </w:rPr>
                    <w:t>(填写每周维护记录)</w:t>
                  </w:r>
                </w:p>
                <w:p>
                  <w:pPr>
                    <w:pStyle w:val="null3"/>
                    <w:jc w:val="left"/>
                  </w:pPr>
                  <w:r>
                    <w:rPr>
                      <w:rFonts w:ascii="仿宋_GB2312" w:hAnsi="仿宋_GB2312" w:cs="仿宋_GB2312" w:eastAsia="仿宋_GB2312"/>
                      <w:sz w:val="28"/>
                      <w:color w:val="000000"/>
                    </w:rPr>
                    <w:t>2.每月：</w:t>
                  </w:r>
                </w:p>
                <w:p>
                  <w:pPr>
                    <w:pStyle w:val="null3"/>
                    <w:jc w:val="left"/>
                  </w:pPr>
                  <w:r>
                    <w:rPr>
                      <w:rFonts w:ascii="仿宋_GB2312" w:hAnsi="仿宋_GB2312" w:cs="仿宋_GB2312" w:eastAsia="仿宋_GB2312"/>
                      <w:sz w:val="28"/>
                      <w:color w:val="000000"/>
                    </w:rPr>
                    <w:t>人工标样核查：</w:t>
                  </w:r>
                  <w:r>
                    <w:rPr>
                      <w:rFonts w:ascii="仿宋_GB2312" w:hAnsi="仿宋_GB2312" w:cs="仿宋_GB2312" w:eastAsia="仿宋_GB2312"/>
                      <w:sz w:val="28"/>
                      <w:color w:val="000000"/>
                    </w:rPr>
                    <w:t>(有证标准物质现场测试)</w:t>
                  </w:r>
                </w:p>
                <w:p>
                  <w:pPr>
                    <w:pStyle w:val="null3"/>
                    <w:jc w:val="left"/>
                  </w:pPr>
                  <w:r>
                    <w:rPr>
                      <w:rFonts w:ascii="仿宋_GB2312" w:hAnsi="仿宋_GB2312" w:cs="仿宋_GB2312" w:eastAsia="仿宋_GB2312"/>
                      <w:sz w:val="28"/>
                      <w:color w:val="000000"/>
                    </w:rPr>
                    <w:t>全面检查采样泵、预处理单元：更换滤芯</w:t>
                  </w:r>
                  <w:r>
                    <w:rPr>
                      <w:rFonts w:ascii="仿宋_GB2312" w:hAnsi="仿宋_GB2312" w:cs="仿宋_GB2312" w:eastAsia="仿宋_GB2312"/>
                      <w:sz w:val="28"/>
                      <w:color w:val="000000"/>
                    </w:rPr>
                    <w:t>/滤材检查计量泵、管路气密性：校准试剂投加量，无泄漏   排查线路、接地、站房安全隐患，整理月度运维台账。</w:t>
                  </w:r>
                </w:p>
              </w:tc>
            </w:tr>
          </w:tbl>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rPr>
              <w:t>服务期：1年</w:t>
            </w:r>
          </w:p>
          <w:p>
            <w:pPr>
              <w:pStyle w:val="null3"/>
            </w:pPr>
            <w:r>
              <w:rPr>
                <w:rFonts w:ascii="仿宋_GB2312" w:hAnsi="仿宋_GB2312" w:cs="仿宋_GB2312" w:eastAsia="仿宋_GB2312"/>
                <w:sz w:val="21"/>
              </w:rPr>
              <w:t>需满足的要求：巩家河硫铁矿矿硝涌水处理站正常运行，水质达到相关要求。</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1、服务期一年。 2、具体服务要求以签订正式合同条款为准 。</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宁强县代家坝镇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1.具有完整的运维记录 2.现场运维照片 3.水质检测报告 4.符合本项目的管理制度和操作流程。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进度款，运维服务期结束后，通过考核后 ，，达到付款条件起10个工作日内，支付合同总金额的50.0%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成交供应商未按合同要求提供服务或不能满足技术要求，如虚假应标，产品质量问题造成业务流程数据紊乱、业务中断等情形，采购人有权终止合同，并对其违约行为进行追究。 采购人与供应商在合同履行期间发生争议时，可以和解或者要求有关主管部门调解。一方不愿和解、调解或者和解、调解不成的，双方可以向汉中市仲裁委员会申请仲裁。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 陕西省财政厅陕财办采函〔2023〕14号文”《陕西省财政厅关于省级预算单位全面推行政府采购项目电子化交易的通知》“ 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 件）及被授权人身份证（法定代表人直接参加 投标只须提供法定代表人身份证）；</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供应商存在的控股关系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本项目不接受联合体投标（提供书面证明材料）。</w:t>
            </w:r>
          </w:p>
        </w:tc>
        <w:tc>
          <w:tcPr>
            <w:tcW w:type="dxa" w:w="1661"/>
          </w:tcPr>
          <w:p>
            <w:pPr>
              <w:pStyle w:val="null3"/>
            </w:pPr>
            <w:r>
              <w:rPr>
                <w:rFonts w:ascii="仿宋_GB2312" w:hAnsi="仿宋_GB2312" w:cs="仿宋_GB2312" w:eastAsia="仿宋_GB2312"/>
              </w:rPr>
              <w:t>供应商需提供的资格证明文件.docx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残疾人福利性单位声明函 中小企业声明函 监狱企业的证明文件 供应商需提供的资格证明文件.docx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 供应商需提供的资格证明文件.docx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 供应商需提供的资格证明文件.docx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针对供应商提供的项目运维方案进行综合审核，审核要点包括包括：1.主要维护工作内容（如日常检查、设备保养等）；2、设备维修、配件更换流程；3、巡查项目及周期（如每周巡查内容、月度检查重点）；4、备品备件储备及故障处理措施（如应急备件清单、24小时响应机制）； 二、评审标准：1.完整性：方案必须全面，对评审内容中的各项要求有详细描述；2.可实施性：切合本项目实际情况，提出步骤清晰、合理的方案；3.针对性：方案能够紧扣项目特点，内容科学合理。 三、赋分标准：1、主要维护工作内容（如日常检查、设备保养等）：每完全满足一个评审标准得2分，满分6分；2、设备维修、配件更换流程：每完全满足一个评审标准得2分，满分6分；3、巡查项目及周期（如每周巡查内容、月度检查重点）；每完全满足一个评审标准得2分，满分6分；4、备品备件储备及故障处理措施（如应急备件清单、24小时响应机制）；每完全满足一个评审标准得2分，满分6分。完全响应采购要求得24分，每缺漏一项扣6分，每有一处内容缺陷（缺陷是指：存在不适用项目实际情况的情形、凭空编造、内容前后不一致、涉及的规范及标准错误、地点区域错误、内容缺失、与项目实施特点不匹配等）扣2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一、评审内容是针对供应商拟派项目实施服务人员的技术培训方案进行审核。内容包括：1、培训内容 (基础理论与实操技能等）；2、培训实施安排（时间安排及培训方式等）；3、培训考核与效果评估； 二、评审标准：1.完整性：方案必须全面，对评审内容中的各项要求有详细描述；2.可实施性：切合本项目实际情况，提出步骤清晰、合理的方案；3.针对性：方案能够紧扣项目特点，内容科学合理。 三、赋分标准：1、培训内容（基础理论与实操技能等）：每完全满足一个评审标准得1分，满分3分；2、培训实施安排（时间安排及培训方式等）：每完全满足一个评审标准得1分，满分3分；3、培训考核与效果评估：每完全满足一个评审标准得1分，满分3分。每一项内容相对每一项评审标准存在一处漏洞或缺陷扣0.3-0.5分，3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一、评审内容审核服务承诺中对1 、水质排放目标；2、人员要求；3、售后服务 ； 二 、评审标准：1.完整性：方案必须全面，对评审内容中的各项要求有详细描述；2.可实施性：切合本项目实际情况，提出步骤清晰、合理的方案； 三、赋分标准： 1、水质排放目标：每完全满足一个评审标准得1分，满分2分；2、人员要求：每完全满足一个评审标准得1分，满分2分； 3、售后服务：每完全满足一个评审标准得1分，满分2分；每一项内容相对每一项评审标准存在一处漏洞或缺陷扣0.3-0.5分，2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保障能力</w:t>
            </w:r>
          </w:p>
        </w:tc>
        <w:tc>
          <w:tcPr>
            <w:tcW w:type="dxa" w:w="2492"/>
          </w:tcPr>
          <w:p>
            <w:pPr>
              <w:pStyle w:val="null3"/>
            </w:pPr>
            <w:r>
              <w:rPr>
                <w:rFonts w:ascii="仿宋_GB2312" w:hAnsi="仿宋_GB2312" w:cs="仿宋_GB2312" w:eastAsia="仿宋_GB2312"/>
              </w:rPr>
              <w:t>供应商须为本项目配备专用运维车辆，自有车辆提供车辆行驶证；若租赁车辆需提供租赁合同及行驶证复印件并加盖公章，且租赁期限不得低于一年。每提供一辆得2分，最高得6分，不提供不得分。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供应商提供2023年1月1日至今类似项目业绩（污水处理运维或在线监测运维业绩、矿山涌水、矿井水、矿山污水处理站运维业绩等），每提供一个得2.5分，最高得5分，提供加盖公章的合同复印件或中标通知书复印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1.项目负责人（1人）：具有环保类初级职称证书得1分，具备环保类中级及以上职称证书的得3分，本项满分为3分，未提供不得分。 2.其他人员：具有环保类污废水处理相关运行维护培训证书不少于2个及环保在线监测设备设施运行维护培训证书不少于2个，每个得3分，最高得12分。 3.具有特种作业操作能力（低压电工作业证或以上）的，得3分，每增加拟派维修人员1名，具有特种作业操作能力(低压电工作业)的，得1分；最高得分5分。未提供不得分。评审标准：以上人员须提供有效期内相关证书，证明材料应真实有效，扫描件或复印件加盖单位公章，不提供或未按要求提供或提供的证明材料不满足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药剂配置</w:t>
            </w:r>
          </w:p>
        </w:tc>
        <w:tc>
          <w:tcPr>
            <w:tcW w:type="dxa" w:w="2492"/>
          </w:tcPr>
          <w:p>
            <w:pPr>
              <w:pStyle w:val="null3"/>
            </w:pPr>
            <w:r>
              <w:rPr>
                <w:rFonts w:ascii="仿宋_GB2312" w:hAnsi="仿宋_GB2312" w:cs="仿宋_GB2312" w:eastAsia="仿宋_GB2312"/>
              </w:rPr>
              <w:t>1.投标人提供污水药剂石灰、PAC、PAM正规生产厂家签订的长期供货合作协议（协议有效期不少于1年），三类药剂齐全得6分；仅具备2类药剂供货协议得4分；仅1类药剂供货协议得2分；无供货协议不得分。 2.评审标准：厂家营业执照及供货协议。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1.投标人自有检测能力，或委托(或合作)的第三方检测机构具有污水检测能力和资质，能够出具具有CMA标志的水质检测报告的得3分，否则不得分。 评审依据:提供投标人或第三方检测机构有效期内的资质证书扫描件;若为第三方检测机构出具，还需提供投标人与该机构的委托/合作协议(或合同)扫描件。以上材料均须加盖投标人公章，未提供或提供不符的不得分。 2.投标人配备便携式检测设备，配备多参数分析仪(可对PH、水温进行检测等2项指标)，得3分；每少一项扣1.5分，扣完为止。评审标准：提供设备证明材料包括但不限于购买发票或租赁协议。 3.配备便携式COD、氨氮快速检测仪，每项得1.5分，满分3分，每少一项扣1.5分，扣完为止。 评审标准：提供设备证明材料包括但不限于购买发票或租赁协议。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以本次最低有效投标报价为基准价，投标报价得分=(基准价／投标报价)×15。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详见附件：供应商需提供的资格证明文件.docx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详见附件：处理站运维项目运维合同..docx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