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409C4">
      <w:pPr>
        <w:pStyle w:val="4"/>
        <w:spacing w:line="360" w:lineRule="auto"/>
        <w:jc w:val="center"/>
        <w:outlineLvl w:val="1"/>
        <w:rPr>
          <w:rFonts w:hint="default"/>
          <w:color w:val="auto"/>
          <w:highlight w:val="none"/>
        </w:rPr>
      </w:pPr>
      <w:r>
        <w:rPr>
          <w:b/>
          <w:color w:val="auto"/>
          <w:sz w:val="36"/>
          <w:highlight w:val="none"/>
        </w:rPr>
        <w:t>拟签订合同文本</w:t>
      </w:r>
    </w:p>
    <w:p w14:paraId="706764A4">
      <w:pPr>
        <w:spacing w:line="500" w:lineRule="exact"/>
        <w:jc w:val="center"/>
        <w:rPr>
          <w:b/>
          <w:color w:val="auto"/>
          <w:sz w:val="32"/>
          <w:highlight w:val="none"/>
        </w:rPr>
      </w:pPr>
      <w:r>
        <w:rPr>
          <w:rFonts w:hint="eastAsia"/>
          <w:b/>
          <w:bCs/>
          <w:color w:val="auto"/>
          <w:sz w:val="24"/>
          <w:highlight w:val="none"/>
        </w:rPr>
        <w:t>（仅供参考）</w:t>
      </w:r>
    </w:p>
    <w:p w14:paraId="42490E46">
      <w:pPr>
        <w:jc w:val="center"/>
        <w:rPr>
          <w:rFonts w:ascii="黑体" w:hAnsi="黑体" w:eastAsia="黑体" w:cs="黑体"/>
          <w:color w:val="000000" w:themeColor="text1"/>
          <w:sz w:val="28"/>
          <w:szCs w:val="28"/>
          <w:lang w:eastAsia="zh-CN"/>
          <w14:textFill>
            <w14:solidFill>
              <w14:schemeClr w14:val="tx1"/>
            </w14:solidFill>
          </w14:textFill>
        </w:rPr>
      </w:pPr>
      <w:r>
        <w:rPr>
          <w:rFonts w:hint="eastAsia" w:ascii="黑体" w:hAnsi="黑体" w:eastAsia="黑体" w:cs="黑体"/>
          <w:color w:val="000000" w:themeColor="text1"/>
          <w:sz w:val="28"/>
          <w:szCs w:val="28"/>
          <w:lang w:eastAsia="zh-CN"/>
          <w14:textFill>
            <w14:solidFill>
              <w14:schemeClr w14:val="tx1"/>
            </w14:solidFill>
          </w14:textFill>
        </w:rPr>
        <w:t>设备购置合同</w:t>
      </w:r>
    </w:p>
    <w:p w14:paraId="18EC3724">
      <w:pPr>
        <w:rPr>
          <w:rFonts w:asciiTheme="minorEastAsia" w:hAnsiTheme="minorEastAsia" w:eastAsiaTheme="minorEastAsia" w:cstheme="minorEastAsia"/>
          <w:color w:val="000000" w:themeColor="text1"/>
          <w:lang w:eastAsia="zh-CN"/>
          <w14:textFill>
            <w14:solidFill>
              <w14:schemeClr w14:val="tx1"/>
            </w14:solidFill>
          </w14:textFill>
        </w:rPr>
      </w:pPr>
    </w:p>
    <w:p w14:paraId="436C8E31">
      <w:pPr>
        <w:spacing w:line="380" w:lineRule="exact"/>
        <w:ind w:firstLine="480" w:firstLineChars="200"/>
        <w:jc w:val="left"/>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陕西职业技术学院(甲方)与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(乙方)就甲方购置的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设备，经双方协商达成如下合同条款：</w:t>
      </w:r>
    </w:p>
    <w:p w14:paraId="306B681E">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1.合同内容</w:t>
      </w:r>
    </w:p>
    <w:p w14:paraId="665A530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在甲方组织的关于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乙方负责为甲方培训操作、维护人员，质保期内负责指导设备的操作使用和保养维修，做好售后服务工作。甲方在乙方完成合同明确规定的责任和义务后，按合同要求付给乙方相应的设备货款。</w:t>
      </w:r>
    </w:p>
    <w:p w14:paraId="1CF8B426">
      <w:pPr>
        <w:spacing w:line="36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 设备购置清单(币种：人民币)</w:t>
      </w:r>
    </w:p>
    <w:tbl>
      <w:tblPr>
        <w:tblStyle w:val="5"/>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0FD69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114EA5D9">
            <w:pPr>
              <w:jc w:val="center"/>
              <w:rPr>
                <w:rFonts w:asciiTheme="minorEastAsia" w:hAnsiTheme="minorEastAsia" w:eastAsiaTheme="minorEastAsia" w:cstheme="minorEastAsia"/>
                <w:b/>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z w:val="22"/>
                <w:szCs w:val="22"/>
                <w14:textFill>
                  <w14:solidFill>
                    <w14:schemeClr w14:val="tx1"/>
                  </w14:solidFill>
                </w14:textFill>
              </w:rPr>
              <w:t>序号</w:t>
            </w:r>
          </w:p>
        </w:tc>
        <w:tc>
          <w:tcPr>
            <w:tcW w:w="1458" w:type="dxa"/>
            <w:vAlign w:val="center"/>
          </w:tcPr>
          <w:p w14:paraId="16015E90">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设备名称</w:t>
            </w:r>
          </w:p>
        </w:tc>
        <w:tc>
          <w:tcPr>
            <w:tcW w:w="1776" w:type="dxa"/>
            <w:vAlign w:val="center"/>
          </w:tcPr>
          <w:p w14:paraId="5D7300E6">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品牌、规格、型号</w:t>
            </w:r>
          </w:p>
        </w:tc>
        <w:tc>
          <w:tcPr>
            <w:tcW w:w="925" w:type="dxa"/>
            <w:vAlign w:val="center"/>
          </w:tcPr>
          <w:p w14:paraId="2770CC57">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数量</w:t>
            </w:r>
          </w:p>
          <w:p w14:paraId="6E704628">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(台、套)</w:t>
            </w:r>
          </w:p>
        </w:tc>
        <w:tc>
          <w:tcPr>
            <w:tcW w:w="1130" w:type="dxa"/>
            <w:vAlign w:val="center"/>
          </w:tcPr>
          <w:p w14:paraId="23DD13D6">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单价</w:t>
            </w:r>
          </w:p>
          <w:p w14:paraId="120DD995">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090" w:type="dxa"/>
            <w:vAlign w:val="center"/>
          </w:tcPr>
          <w:p w14:paraId="7CADCC17">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合计</w:t>
            </w:r>
          </w:p>
          <w:p w14:paraId="556A0A14">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420" w:type="dxa"/>
            <w:vAlign w:val="center"/>
          </w:tcPr>
          <w:p w14:paraId="0EB457C2">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生产商</w:t>
            </w:r>
          </w:p>
        </w:tc>
        <w:tc>
          <w:tcPr>
            <w:tcW w:w="617" w:type="dxa"/>
            <w:vAlign w:val="center"/>
          </w:tcPr>
          <w:p w14:paraId="0382AF8B">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备注</w:t>
            </w:r>
          </w:p>
        </w:tc>
      </w:tr>
      <w:tr w14:paraId="250EC9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2410C821">
            <w:pPr>
              <w:jc w:val="cente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1</w:t>
            </w:r>
          </w:p>
        </w:tc>
        <w:tc>
          <w:tcPr>
            <w:tcW w:w="1458" w:type="dxa"/>
            <w:vAlign w:val="center"/>
          </w:tcPr>
          <w:p w14:paraId="7A893AEE">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24F83C40">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554C4D2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1DF0530C">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59C3EFE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7AF74EA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0049D7D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42FF1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645335E8">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2</w:t>
            </w:r>
          </w:p>
        </w:tc>
        <w:tc>
          <w:tcPr>
            <w:tcW w:w="1458" w:type="dxa"/>
            <w:vAlign w:val="center"/>
          </w:tcPr>
          <w:p w14:paraId="34437CC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67A326C7">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31E42B4A">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496DDAEC">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177A1614">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63F5A1FF">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65A34CEF">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6046A5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6D19C9D7">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w:t>
            </w:r>
          </w:p>
        </w:tc>
        <w:tc>
          <w:tcPr>
            <w:tcW w:w="1458" w:type="dxa"/>
            <w:vAlign w:val="center"/>
          </w:tcPr>
          <w:p w14:paraId="3B991D7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216B1EF7">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58D5446C">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6F47D11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43E05108">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2D91100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67D94012">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37713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2F78CDAD">
            <w:pPr>
              <w:rPr>
                <w:rFonts w:asciiTheme="minorEastAsia" w:hAnsiTheme="minorEastAsia" w:eastAsiaTheme="minorEastAsia" w:cstheme="minorEastAsia"/>
                <w:color w:val="000000" w:themeColor="text1"/>
                <w:sz w:val="22"/>
                <w:szCs w:val="22"/>
                <w14:textFill>
                  <w14:solidFill>
                    <w14:schemeClr w14:val="tx1"/>
                  </w14:solidFill>
                </w14:textFill>
              </w:rPr>
            </w:pPr>
          </w:p>
          <w:p w14:paraId="0BA1ABBB">
            <w:pP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合计(元)</w:t>
            </w:r>
          </w:p>
        </w:tc>
        <w:tc>
          <w:tcPr>
            <w:tcW w:w="5182" w:type="dxa"/>
            <w:gridSpan w:val="5"/>
            <w:vAlign w:val="center"/>
          </w:tcPr>
          <w:p w14:paraId="6AE5A096">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大写：</w:t>
            </w:r>
          </w:p>
        </w:tc>
      </w:tr>
      <w:tr w14:paraId="365F01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44921249">
            <w:pP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5182" w:type="dxa"/>
            <w:gridSpan w:val="5"/>
            <w:vAlign w:val="center"/>
          </w:tcPr>
          <w:p w14:paraId="215FB411">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小写：</w:t>
            </w:r>
            <w:r>
              <w:rPr>
                <w:rFonts w:hint="eastAsia" w:asciiTheme="minorEastAsia" w:hAnsiTheme="minorEastAsia" w:eastAsiaTheme="minorEastAsia" w:cstheme="minorEastAsia"/>
                <w:color w:val="000000" w:themeColor="text1"/>
                <w:sz w:val="22"/>
                <w:szCs w:val="22"/>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2"/>
                <w:szCs w:val="22"/>
                <w14:textFill>
                  <w14:solidFill>
                    <w14:schemeClr w14:val="tx1"/>
                  </w14:solidFill>
                </w14:textFill>
              </w:rPr>
              <w:t>元</w:t>
            </w:r>
          </w:p>
        </w:tc>
      </w:tr>
    </w:tbl>
    <w:p w14:paraId="2C8CAE5E">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26109A51">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其中，</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不含税金额____元，增值税税额____元，适用税率____%。</w:t>
      </w:r>
    </w:p>
    <w:p w14:paraId="244B9DA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 合同总额为一次性包死价格，不受市场价格的变化和影响，在合同不发生变更时作为付款结算的依据。</w:t>
      </w:r>
    </w:p>
    <w:p w14:paraId="4FFBD3F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 设备的技术参数要求</w:t>
      </w:r>
    </w:p>
    <w:p w14:paraId="23E6564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02135AD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1.4.2 乙方应向甲方提供有关标准的中文文本。</w:t>
      </w:r>
    </w:p>
    <w:p w14:paraId="1B4651D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1.4.3 除非技术规范中另有规定，计量单位均采用中华人民共和国法定计量单位。</w:t>
      </w:r>
    </w:p>
    <w:p w14:paraId="2F5FF9AD">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2.包装运输要求</w:t>
      </w:r>
    </w:p>
    <w:p w14:paraId="6272A62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0431ADD5">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3.交货时间及交货地点</w:t>
      </w:r>
    </w:p>
    <w:p w14:paraId="1A69B50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7BB9A9C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3.2 合同签订后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个工作日内，乙方负责将产品运输到指定地点，并按照验收标准和验收程序完成设备的安装、调试和验收工作。乙方保证运输过程产品包装完好、安装调试及验收时设备外观无划痕，设备质量完好。</w:t>
      </w:r>
    </w:p>
    <w:p w14:paraId="7FC63EA5">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4.产品质量保证</w:t>
      </w:r>
    </w:p>
    <w:p w14:paraId="7DFC98F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4.1 乙方提供的设备及配套产品，必须是合同规定厂家制造的、合格、全新、未曾使用的产品，产品内部无损坏，外表无磨损，内部包装无破损。</w:t>
      </w:r>
    </w:p>
    <w:p w14:paraId="432C2A4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4.2 乙方提供的设备及配套产品必须等同于或优于合同技术指标要求，并能按国家标准供应、检测、调试，确保产品技术指标满足合同约定及使用要求。</w:t>
      </w:r>
    </w:p>
    <w:p w14:paraId="75E362B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4.3 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710F4B1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4.4 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6A2ED5D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77B1315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4.6 产品质量保证期为甲方最终设备验收合格后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年，设备正常使用寿命为</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4CBA8C9E">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5.技术服务承诺</w:t>
      </w:r>
    </w:p>
    <w:p w14:paraId="20CA658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5.1 乙方应严格按照供货时间，及时给甲方供货。</w:t>
      </w:r>
    </w:p>
    <w:p w14:paraId="094D78B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5.2 乙方负责提供设备相应的技术资料，包括产品合格证、产品保修单、安装使用及维护说明书以及运输装箱清单等，并对所有技术材料的真实性、准确性、先进性、完整性负责。</w:t>
      </w:r>
    </w:p>
    <w:p w14:paraId="6B85DD5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5.3 人员培训：乙方免费为甲方培训设备使用人员，培训内容包括：设备操作、维护、简单维修等。</w:t>
      </w:r>
    </w:p>
    <w:p w14:paraId="7A1BAD1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5.4 售后服务：质保期内乙方对甲方提出的服务响应不得超过</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小时，并派人到现场排除故障或制定解决方案。乙方售后服务及维修专线：</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DA40C9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5.5 具体服务详见乙方投标文件中乙方的承诺书。</w:t>
      </w:r>
    </w:p>
    <w:p w14:paraId="1974E7DF">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6.验收方法及标准</w:t>
      </w:r>
    </w:p>
    <w:p w14:paraId="212484A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 开箱验收</w:t>
      </w:r>
    </w:p>
    <w:p w14:paraId="4366D02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6.1.1 产品运抵现场后，双方应及时开箱验收，并制作验收记录，以确认与本合同约定的数量、型号等是否一致。</w:t>
      </w:r>
    </w:p>
    <w:p w14:paraId="4BD8658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14:paraId="2E18A08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58655EF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14:paraId="1BEDE00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 检验验收</w:t>
      </w:r>
    </w:p>
    <w:p w14:paraId="3C59028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6.2.1 交货完成后，乙方应及时组装、调试、试运行，按照合同条款规定的试运行完成后，双方及时组织对产品检验验收。合同双方均须派人参加合同要求双方参加的试验、检验。</w:t>
      </w:r>
    </w:p>
    <w:p w14:paraId="428F601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6.2.2 在具体实施合同规定的检验验收之前，乙方需提前提交相应的测试计划(包括测试程序、测试内容和检验标准、试验时间安排等)供甲方确认。注：本条甲乙双方协商。</w:t>
      </w:r>
    </w:p>
    <w:p w14:paraId="50054E0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6.2.3 除需甲方确认的试验验收外，乙方还应对所有检验验收测试的结果、步骤、原始数据等作妥善记录。如甲方要求，乙方应提供这些记录给甲方。</w:t>
      </w:r>
    </w:p>
    <w:p w14:paraId="66B0258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6.2.4 检验测试出现全部或部分未达到本合同所约定的技术指标，甲方有权选择下列任一处理方式：</w:t>
      </w:r>
    </w:p>
    <w:p w14:paraId="2B020B3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a.重新测试直至合格为止；</w:t>
      </w:r>
    </w:p>
    <w:p w14:paraId="3EBEB7F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b.要求乙方对货物进行免费更换，然后重新测试直至合格为止；无论选择何种方式，甲方因此而发生的因乙方原因引起的所有费用均由乙方负担。并承担造成延迟交付的违约责任</w:t>
      </w:r>
    </w:p>
    <w:p w14:paraId="292CDA3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 使用过程检验</w:t>
      </w:r>
    </w:p>
    <w:p w14:paraId="6E81F9E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6.3.1 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60364A8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6.3.2 如果合同双方对乙方提供的上述试验结果报告的解释有分歧，双方须于出现分歧后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天内给对方声明，以陈述己方的观点。声明须附有关证据。分歧应通过协商解决。</w:t>
      </w:r>
    </w:p>
    <w:p w14:paraId="0A9681D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6.4 所有验收合格，但不能免除乙方应该承担的质保责任。</w:t>
      </w:r>
    </w:p>
    <w:p w14:paraId="79E2C053">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7.合同款项支付方式</w:t>
      </w:r>
    </w:p>
    <w:p w14:paraId="06FED58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 履约保证金</w:t>
      </w:r>
    </w:p>
    <w:p w14:paraId="3BA6904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7.1.1 乙方应在收到中标(成交)通知书后、合同签订前</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个工作日内，向甲方提交合同总价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5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%的履约保证金；</w:t>
      </w:r>
    </w:p>
    <w:p w14:paraId="2D0FEF6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7.1.2 履约保证金应使用人民币，按</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银行转账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方式提交；</w:t>
      </w:r>
    </w:p>
    <w:p w14:paraId="77D1757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7.1.3 设备到货并由甲方验收合格后，在最终验收合格之日起满24个月后，采购人在收到供应商书面申请，经采购人确认供应商履行了合同约定的义务，无违约情形一次性予以无息退还。</w:t>
      </w:r>
    </w:p>
    <w:p w14:paraId="13CD4BE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7.2 合同款支付</w:t>
      </w:r>
    </w:p>
    <w:p w14:paraId="7AB659E1">
      <w:pPr>
        <w:spacing w:line="380" w:lineRule="exact"/>
        <w:ind w:firstLine="532"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13"/>
          <w:kern w:val="0"/>
          <w:sz w:val="24"/>
          <w:szCs w:val="24"/>
          <w:fitText w:val="7200" w:id="1314737957"/>
          <w:lang w:eastAsia="zh-CN"/>
          <w14:textFill>
            <w14:solidFill>
              <w14:schemeClr w14:val="tx1"/>
            </w14:solidFill>
          </w14:textFill>
        </w:rPr>
        <w:t>签订合同后，设备到达指定地点、安装调试完成并验收合格</w:t>
      </w:r>
      <w:r>
        <w:rPr>
          <w:rFonts w:hint="eastAsia" w:asciiTheme="minorEastAsia" w:hAnsiTheme="minorEastAsia" w:eastAsiaTheme="minorEastAsia" w:cstheme="minorEastAsia"/>
          <w:color w:val="000000" w:themeColor="text1"/>
          <w:spacing w:val="22"/>
          <w:kern w:val="0"/>
          <w:sz w:val="24"/>
          <w:szCs w:val="24"/>
          <w:fitText w:val="7200" w:id="1314737957"/>
          <w:lang w:eastAsia="zh-CN"/>
          <w14:textFill>
            <w14:solidFill>
              <w14:schemeClr w14:val="tx1"/>
            </w14:solidFill>
          </w14:textFill>
        </w:rPr>
        <w:t>后</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，支付合同总价的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p>
    <w:p w14:paraId="43D763E9">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7.3 甲方向乙方付款前时，乙方必须先提供等额的增值税</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专用</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发票，在乙方提供后，方可办理付款手续（税票</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及其相关资料</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办理具体问题与学校财务部门咨询或协商）。若乙方不能按照学校财务部门的要求出具发票，甲方有权不予付款，由此所造成的一切损失由乙方自行承担，如因发票问题使得甲方蒙受损失（包含但不限于罚款、处理费用、声誉影响等）的，乙方应当承担全部责任，并赔偿损失。甲方在确认收到乙方提供的发票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个工作日内付款。</w:t>
      </w:r>
    </w:p>
    <w:p w14:paraId="1E133922">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8.安全生产和文明施工</w:t>
      </w:r>
    </w:p>
    <w:p w14:paraId="732D7C6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8.1 现场安全文明施工由乙方编制专项详细方案并严格执行。</w:t>
      </w:r>
    </w:p>
    <w:p w14:paraId="3548256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乙方承担甲方相应经济赔偿责任。</w:t>
      </w:r>
    </w:p>
    <w:p w14:paraId="3D6C78A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8.3 在设备安装施工全过程中，乙方应服从甲方的各项管理，并对乙方施工人员进行安全管理。</w:t>
      </w:r>
    </w:p>
    <w:p w14:paraId="55EE251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8.4 确保现场建筑物及相关设施设备完好无损，如施工过程中出现损坏，乙方负责修复赔偿。</w:t>
      </w:r>
    </w:p>
    <w:p w14:paraId="4FB116C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8.5 乙方应对安装施工人员相关岗位上岗资格进行审查，并对相关后果负责。</w:t>
      </w:r>
    </w:p>
    <w:p w14:paraId="48C24034">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9.索赔</w:t>
      </w:r>
    </w:p>
    <w:p w14:paraId="622C640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75701CD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 在验收合格前，乙方对甲方提出的索赔负有责任，乙方应按照甲方同意的下列一种或多种方式解决索赔事宜：</w:t>
      </w:r>
    </w:p>
    <w:p w14:paraId="7E0C563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9.2.1 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342FA67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9.2.2 根据货物低劣程度、损坏程度以及甲方所遭受损失的数额，经甲乙双方商定降低货物的价格，或由有资质的中介机构评估，以降低后的价格或评估价格为准。</w:t>
      </w:r>
    </w:p>
    <w:p w14:paraId="562F91C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2D0ABC3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9.3 乙方收到甲方发出的索赔通知之日起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个工作日内未作答复的，甲方可从合同款或履约保证金中扣回索赔金额，如金额不足以补偿索赔金额，乙方应补足差额部分。</w:t>
      </w:r>
    </w:p>
    <w:p w14:paraId="7A73485E">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10.违约责任</w:t>
      </w:r>
    </w:p>
    <w:p w14:paraId="7DF2109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10.1 合同生效后，甲乙双方应按合同规定认真全面履约。合同履约责任只涉及合同甲乙双方，不考虑第三方因素。</w:t>
      </w:r>
    </w:p>
    <w:p w14:paraId="364BA38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40EC3FE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%的违约金及其他损失。</w:t>
      </w:r>
    </w:p>
    <w:p w14:paraId="51238A5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10.4 在合同规定的供货期内乙方未全部交货，除应如数补齐外，还应承担合同总款的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%违约金。</w:t>
      </w:r>
    </w:p>
    <w:p w14:paraId="7E4B91F9">
      <w:pPr>
        <w:spacing w:line="380" w:lineRule="exact"/>
        <w:ind w:firstLine="480" w:firstLineChars="200"/>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10.5 乙方对货物不按招标文件要求，擅自更换，除恢复原招标产品外，应承担更换部分价款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%的违约金；乙方如对产品材质、随机配品以次充好，除全部按要求恢复外，应承担此部分价款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w:t>
      </w:r>
    </w:p>
    <w:p w14:paraId="731C5FE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10.6 除不可抗力因素外，乙方对所供产品出现的问题推诿、拖延，</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24</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小时未作出服务响应且乙方没有按照合同规定的时间交货和提供服务，甲方可要求乙方支付违约金。违约金每日按合同总价款的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‰计收。否则，甲方有权拒绝乙方以后参加学校竞标。</w:t>
      </w:r>
    </w:p>
    <w:p w14:paraId="5A42B599">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11.合同争议的解决</w:t>
      </w:r>
    </w:p>
    <w:p w14:paraId="6B6CA7C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11.1 甲乙双方由于本合同的履行而发生任何争议时，双方可先通过协商解决。</w:t>
      </w:r>
    </w:p>
    <w:p w14:paraId="3C4DFC4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11.2 任何一方不愿通过协商或通过协商仍不能解决争议，则双方中任何一方均应向甲方所在地人民法院起诉。</w:t>
      </w:r>
    </w:p>
    <w:p w14:paraId="1A2195C3">
      <w:pPr>
        <w:spacing w:line="380" w:lineRule="exact"/>
        <w:ind w:firstLine="482" w:firstLineChars="200"/>
        <w:rPr>
          <w:rFonts w:asciiTheme="minorEastAsia" w:hAnsiTheme="minorEastAsia" w:eastAsia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12.违约解除合同</w:t>
      </w:r>
    </w:p>
    <w:p w14:paraId="17AF696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 出现下列情形之一的，视为乙方违约。甲方可向乙方发出书面通知，部分或全部终止合同，同时保留向乙方索赔及追加其违约责任的权利。</w:t>
      </w:r>
    </w:p>
    <w:p w14:paraId="0B0009F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12.1.1 乙方未能在合同规定的限期或甲方同意延长的限期内，提供全部或部分货物的；</w:t>
      </w:r>
    </w:p>
    <w:p w14:paraId="66AB428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12.1.2 乙方未能履行合同规定的其它主要义务的；</w:t>
      </w:r>
    </w:p>
    <w:p w14:paraId="6F5D157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12.1.3 乙方在本合同履行过程中有欺诈行为的。</w:t>
      </w:r>
    </w:p>
    <w:p w14:paraId="7DF8F406">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12.2 甲方全部或部分解除合同之后，乙方应承担甲方再次购买类似货物或服务而产生的支出。部分解除合同的，乙方应继续履行合同中未解除的部分。</w:t>
      </w:r>
    </w:p>
    <w:p w14:paraId="5E406880">
      <w:pPr>
        <w:shd w:val="clear" w:color="auto" w:fill="auto"/>
        <w:spacing w:line="380" w:lineRule="exact"/>
        <w:ind w:firstLine="480" w:firstLineChars="200"/>
        <w:outlineLvl w:val="9"/>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bookmarkStart w:id="0" w:name="_Toc495505745"/>
      <w:bookmarkStart w:id="1" w:name="_Toc14186"/>
      <w:bookmarkStart w:id="2" w:name="_Toc26328"/>
      <w:bookmarkStart w:id="3" w:name="_Toc23280"/>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不可抗力</w:t>
      </w:r>
      <w:bookmarkEnd w:id="0"/>
      <w:bookmarkEnd w:id="1"/>
      <w:bookmarkEnd w:id="2"/>
      <w:bookmarkEnd w:id="3"/>
    </w:p>
    <w:p w14:paraId="1FF4BB0C">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本合同项下的“不可抗力”是指不能预见，不能避免且不能克服的客观情况，使得本合同一方当事人无法履行合同义务，如战争、严重火灾、水灾、风灾和地震属于不可抗力的事故。</w:t>
      </w:r>
    </w:p>
    <w:p w14:paraId="6DA67273">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13.2</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30506440">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如不可抗力时间延续120天以上的，各方通过协商达成在合理的时间内继续履行合同，或部分履行合同，或终止合同的履行。</w:t>
      </w:r>
    </w:p>
    <w:p w14:paraId="4D7C1D0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一方迟延履行后发生不可抗力的，不能免除责任。</w:t>
      </w:r>
    </w:p>
    <w:p w14:paraId="354D3C6E">
      <w:pPr>
        <w:spacing w:beforeLines="-2147483648" w:afterLines="-2147483648" w:line="380" w:lineRule="exact"/>
        <w:ind w:firstLine="480" w:firstLineChars="200"/>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14.其它事项</w:t>
      </w:r>
    </w:p>
    <w:p w14:paraId="4874CC8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合同经双方签字盖章后生效。本合同一式六份，甲方执五份，乙方执一份，执行完毕后自行失效。</w:t>
      </w:r>
    </w:p>
    <w:p w14:paraId="0D3C4FD9">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14.2 下述文件为本合同一部分，并与本合同一起阅读和理解，且具有同等法律效力；合同的附件、投标文件均作为本合同不可分割的内容，且具有同等法律效力。合同的附件由甲方使用单位负责审核并签章。</w:t>
      </w:r>
    </w:p>
    <w:p w14:paraId="242826B7">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a.合同附件（设备的具体配置及技术参数）；</w:t>
      </w:r>
    </w:p>
    <w:p w14:paraId="4A024CF9">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b.招标文件；</w:t>
      </w:r>
    </w:p>
    <w:p w14:paraId="350588B8">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c.投标文件；</w:t>
      </w:r>
    </w:p>
    <w:p w14:paraId="32AC90AD">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d.进出口代理协议；</w:t>
      </w:r>
    </w:p>
    <w:p w14:paraId="5F83B03B">
      <w:pPr>
        <w:spacing w:line="380" w:lineRule="exact"/>
        <w:ind w:firstLine="480" w:firstLineChars="200"/>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d.中标通知书。</w:t>
      </w:r>
    </w:p>
    <w:p w14:paraId="20E8D7B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14.3 通知和合同修改;在本合同执行过程中，一方给另一方的通知，都应以书面的形式（信函、传真）发送至对方，对本合同条款进行任何改动或补充，均须由甲乙双方签署书面合同修改签证，方为有效。</w:t>
      </w:r>
    </w:p>
    <w:p w14:paraId="45DF9F0F">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bookmarkStart w:id="4" w:name="_Toc11939"/>
      <w:bookmarkStart w:id="5" w:name="_Toc495505746"/>
      <w:bookmarkStart w:id="6" w:name="_Toc1081"/>
      <w:bookmarkStart w:id="7" w:name="_Toc18101"/>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.4</w:t>
      </w:r>
      <w:bookmarkEnd w:id="4"/>
      <w:bookmarkEnd w:id="5"/>
      <w:bookmarkEnd w:id="6"/>
      <w:bookmarkEnd w:id="7"/>
      <w:r>
        <w:rPr>
          <w:rFonts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本合同未尽事宜由双方共同协商，另行订立补充协议，补充协议与本协议具有同样的法律效力。如果本合同之附件与本合同规定不符, 以本合同规定为准。</w:t>
      </w:r>
    </w:p>
    <w:p w14:paraId="2CB5B57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个工作日书面通知对方；否则，原地址仍有效，依此发出的通知一经发出即视为送达，由此产生的后果由未通知方自行承担。</w:t>
      </w:r>
    </w:p>
    <w:p w14:paraId="163869C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p>
    <w:p w14:paraId="46E0D4FB">
      <w:pPr>
        <w:spacing w:beforeLines="50" w:afterLines="5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合同签订地点：陕西职业技术学院</w:t>
      </w:r>
    </w:p>
    <w:p w14:paraId="4FA74BF8">
      <w:pPr>
        <w:spacing w:beforeLines="50" w:afterLines="5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合同签订时间：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日</w:t>
      </w:r>
    </w:p>
    <w:p w14:paraId="6FF6285A">
      <w:pPr>
        <w:rPr>
          <w:rFonts w:asciiTheme="minorEastAsia" w:hAnsiTheme="minorEastAsia" w:eastAsiaTheme="minorEastAsia" w:cstheme="minorEastAsia"/>
          <w:color w:val="000000" w:themeColor="text1"/>
          <w:sz w:val="24"/>
          <w:szCs w:val="24"/>
          <w14:textFill>
            <w14:solidFill>
              <w14:schemeClr w14:val="tx1"/>
            </w14:solidFill>
          </w14:textFill>
        </w:rPr>
      </w:pPr>
    </w:p>
    <w:tbl>
      <w:tblPr>
        <w:tblStyle w:val="5"/>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0CF4D1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57F985F6">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甲方(盖章):陕西职业技术学院</w:t>
            </w:r>
          </w:p>
        </w:tc>
        <w:tc>
          <w:tcPr>
            <w:tcW w:w="4485" w:type="dxa"/>
            <w:vAlign w:val="center"/>
          </w:tcPr>
          <w:p w14:paraId="5492119A">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乙方(盖章):</w:t>
            </w:r>
          </w:p>
        </w:tc>
      </w:tr>
      <w:tr w14:paraId="4674FF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1FCC3FC0">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地址：西安市灞桥区狄寨路2028号</w:t>
            </w:r>
          </w:p>
        </w:tc>
        <w:tc>
          <w:tcPr>
            <w:tcW w:w="4485" w:type="dxa"/>
            <w:vAlign w:val="center"/>
          </w:tcPr>
          <w:p w14:paraId="4944967B">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地址：</w:t>
            </w:r>
          </w:p>
        </w:tc>
      </w:tr>
      <w:tr w14:paraId="65E88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094EE79B">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c>
          <w:tcPr>
            <w:tcW w:w="4485" w:type="dxa"/>
            <w:vAlign w:val="center"/>
          </w:tcPr>
          <w:p w14:paraId="4826886F">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r>
      <w:tr w14:paraId="272E0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5F53923E">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c>
          <w:tcPr>
            <w:tcW w:w="4485" w:type="dxa"/>
            <w:vAlign w:val="center"/>
          </w:tcPr>
          <w:p w14:paraId="56893663">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r>
      <w:tr w14:paraId="17A999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26798555">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c>
          <w:tcPr>
            <w:tcW w:w="4485" w:type="dxa"/>
            <w:vAlign w:val="center"/>
          </w:tcPr>
          <w:p w14:paraId="2C12195B">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r>
      <w:tr w14:paraId="4FFE0B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54FE1FDD">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c>
          <w:tcPr>
            <w:tcW w:w="4485" w:type="dxa"/>
            <w:vAlign w:val="center"/>
          </w:tcPr>
          <w:p w14:paraId="361D0125">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r>
      <w:tr w14:paraId="3BABF9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75086028">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c>
          <w:tcPr>
            <w:tcW w:w="4485" w:type="dxa"/>
            <w:vAlign w:val="center"/>
          </w:tcPr>
          <w:p w14:paraId="05CA9A2B">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r>
    </w:tbl>
    <w:p w14:paraId="13DD6188">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890715"/>
    <w:rsid w:val="3C644C71"/>
    <w:rsid w:val="67890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6018</Words>
  <Characters>6296</Characters>
  <Lines>0</Lines>
  <Paragraphs>0</Paragraphs>
  <TotalTime>0</TotalTime>
  <ScaleCrop>false</ScaleCrop>
  <LinksUpToDate>false</LinksUpToDate>
  <CharactersWithSpaces>6540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2026-05-21T08:04:00Z</dcterms:created>
  <dc:creator>Aurora</dc:creator>
  <cp:lastModifiedBy>Aurora</cp:lastModifiedBy>
  <dcterms:modified xsi:type="dcterms:W3CDTF">2026-05-27T07:12:03Z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5E2D894866AC4F348735566F23695429_11</vt:lpwstr>
  </property>
  <property fmtid="{D5CDD505-2E9C-101B-9397-08002B2CF9AE}" pid="4" name="KSOTemplateDocerSaveRecord">
    <vt:lpwstr>eyJoZGlkIjoiMjFkZWJjZjdkYjI4NGFiYWJjNTI5ZmQzMDdiZTdjOTQiLCJ1c2VySWQiOiIzMjMxNzgwNTIifQ==</vt:lpwstr>
  </property>
</Properties>
</file>