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版本号：SXHT-(CS)2026040620260515002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2026年度设施设备维保服务项目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SXHT-(CS)20260406</w:t>
      </w:r>
      <w:r>
        <w:br/>
      </w:r>
      <w:r>
        <w:br/>
      </w:r>
      <w:r>
        <w:br/>
      </w:r>
    </w:p>
    <w:p>
      <w:pPr>
        <w:pStyle w:val="null3"/>
        <w:jc w:val="center"/>
        <w:outlineLvl w:val="2"/>
      </w:pPr>
      <w:r>
        <w:rPr>
          <w:rFonts w:ascii="仿宋_GB2312" w:hAnsi="仿宋_GB2312" w:cs="仿宋_GB2312" w:eastAsia="仿宋_GB2312"/>
          <w:sz w:val="28"/>
          <w:b/>
        </w:rPr>
        <w:t>西安碑林博物馆</w:t>
      </w:r>
    </w:p>
    <w:p>
      <w:pPr>
        <w:pStyle w:val="null3"/>
        <w:jc w:val="center"/>
        <w:outlineLvl w:val="2"/>
      </w:pPr>
      <w:r>
        <w:rPr>
          <w:rFonts w:ascii="仿宋_GB2312" w:hAnsi="仿宋_GB2312" w:cs="仿宋_GB2312" w:eastAsia="仿宋_GB2312"/>
          <w:sz w:val="28"/>
          <w:b/>
        </w:rPr>
        <w:t>陕西海堂项目管理咨询有限公司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陕西海堂项目管理咨询有限公司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西安碑林博物馆</w:t>
      </w:r>
      <w:r>
        <w:rPr>
          <w:rFonts w:ascii="仿宋_GB2312" w:hAnsi="仿宋_GB2312" w:cs="仿宋_GB2312" w:eastAsia="仿宋_GB2312"/>
        </w:rPr>
        <w:t>委托，拟对</w:t>
      </w:r>
      <w:r>
        <w:rPr>
          <w:rFonts w:ascii="仿宋_GB2312" w:hAnsi="仿宋_GB2312" w:cs="仿宋_GB2312" w:eastAsia="仿宋_GB2312"/>
        </w:rPr>
        <w:t>2026年度设施设备维保服务项目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SXHT-(CS)20260406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2026年度设施设备维保服务项目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本项目要求供应商提供以下设施设备的日常维保、定期检查、预防性维护、故障维修及应急抢修服务。具体内容详见竞争性磋商文件。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采购包1（2026年度设施设备维保服务项目）：属于专门面向中小企业采购。</w:t>
      </w:r>
    </w:p>
    <w:p>
      <w:pPr>
        <w:pStyle w:val="null3"/>
      </w:pPr>
      <w:r>
        <w:rPr>
          <w:rFonts w:ascii="仿宋_GB2312" w:hAnsi="仿宋_GB2312" w:cs="仿宋_GB2312" w:eastAsia="仿宋_GB2312"/>
        </w:rPr>
        <w:t>供应商以联合体形式参加本采购包的，联合体各方应当为中小企业。</w:t>
      </w:r>
    </w:p>
    <w:p>
      <w:pPr>
        <w:pStyle w:val="null3"/>
      </w:pPr>
      <w:r>
        <w:rPr>
          <w:rFonts w:ascii="仿宋_GB2312" w:hAnsi="仿宋_GB2312" w:cs="仿宋_GB2312" w:eastAsia="仿宋_GB2312"/>
        </w:rPr>
        <w:t>供应商合同分包的，分包意向协议中分包意向供应商应当为中小企业。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2、法定代表人授权书：法定代表人授权书及身份证,被授权人须提供近半年内任意一个月的社保缴纳证明（法定代表人直接投标须提交法定代表人证明书及身份证）；</w:t>
      </w:r>
    </w:p>
    <w:p>
      <w:pPr>
        <w:pStyle w:val="null3"/>
      </w:pPr>
      <w:r>
        <w:rPr>
          <w:rFonts w:ascii="仿宋_GB2312" w:hAnsi="仿宋_GB2312" w:cs="仿宋_GB2312" w:eastAsia="仿宋_GB2312"/>
        </w:rPr>
        <w:t>3、财务状况报告：提供2024年度或2025年度经审计的完整有效的财务报告(包括审计报告、资产负债表、利润表、现金流量表及其附注、会计师事务所营业执照、执业证书、注册会计师证书，成立时间至提交响应文件截止时间不足一年的可提供成立后任意时段的资产负债表），或其磋商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4、社会保障资金缴纳证明：供应商提供2025年10月至今任意一个月的社会保障资金缴存单据或社保机构开具的社会保险参保缴费情况证明；成立时间至提交响应文件截止时间不足1个月的供应商，无法提供上述证明材料的，须提供《关于无法提供社保缴纳证明的情况说明》；依法不需要缴纳社会保障资金的供应商应提供相关文件证明；</w:t>
      </w:r>
    </w:p>
    <w:p>
      <w:pPr>
        <w:pStyle w:val="null3"/>
      </w:pPr>
      <w:r>
        <w:rPr>
          <w:rFonts w:ascii="仿宋_GB2312" w:hAnsi="仿宋_GB2312" w:cs="仿宋_GB2312" w:eastAsia="仿宋_GB2312"/>
        </w:rPr>
        <w:t>5、税收缴纳证明：供应商提供2025年10月至今任意一个月的纳税证明或完税证明，纳税证明或完税证明上应有代收机构或税务机关的公章；成立时间至提交响应文件截止时间不足3个月的供应商，可提供成立之日起至投标截止之日的税收缴纳凭证（或银行缴费凭证），若无应纳税款，须提供税务机关盖章的零申报说明或无欠税证明；依法免税的供应商应提供相关文件证明；</w:t>
      </w:r>
    </w:p>
    <w:p>
      <w:pPr>
        <w:pStyle w:val="null3"/>
      </w:pPr>
      <w:r>
        <w:rPr>
          <w:rFonts w:ascii="仿宋_GB2312" w:hAnsi="仿宋_GB2312" w:cs="仿宋_GB2312" w:eastAsia="仿宋_GB2312"/>
        </w:rPr>
        <w:t>6、资质要求1：供应商应具备《中华人民共和国特种设备生产许可证》【电梯制造（含安装、修理、改造）或（电梯安装（含修理）】。</w:t>
      </w:r>
    </w:p>
    <w:p>
      <w:pPr>
        <w:pStyle w:val="null3"/>
      </w:pPr>
      <w:r>
        <w:rPr>
          <w:rFonts w:ascii="仿宋_GB2312" w:hAnsi="仿宋_GB2312" w:cs="仿宋_GB2312" w:eastAsia="仿宋_GB2312"/>
        </w:rPr>
        <w:t>7、资质要求2：供应商应具备有效的《承装（修、试）电力设施许可证》三级（含三级）及以上资质或机电安装施工总承包资质三级及以资质。</w:t>
      </w:r>
    </w:p>
    <w:p>
      <w:pPr>
        <w:pStyle w:val="null3"/>
      </w:pPr>
      <w:r>
        <w:rPr>
          <w:rFonts w:ascii="仿宋_GB2312" w:hAnsi="仿宋_GB2312" w:cs="仿宋_GB2312" w:eastAsia="仿宋_GB2312"/>
        </w:rPr>
        <w:t>8、重大违法记录：参加政府采购活动前3年内经营活动中没有重大违法记录声明；</w:t>
      </w:r>
    </w:p>
    <w:p>
      <w:pPr>
        <w:pStyle w:val="null3"/>
      </w:pPr>
      <w:r>
        <w:rPr>
          <w:rFonts w:ascii="仿宋_GB2312" w:hAnsi="仿宋_GB2312" w:cs="仿宋_GB2312" w:eastAsia="仿宋_GB2312"/>
        </w:rPr>
        <w:t>9、信用中国：通过“信用中国”网站（www.creditchina.gov.cn/ ）和“中国政府采购网”（http://www.ccgp.gov.cn/）查询投标主体未被列入失信被执行人、重大税收失信主体、政府采购严重违法失信行为记录名单；</w:t>
      </w:r>
    </w:p>
    <w:p>
      <w:pPr>
        <w:pStyle w:val="null3"/>
      </w:pPr>
      <w:r>
        <w:rPr>
          <w:rFonts w:ascii="仿宋_GB2312" w:hAnsi="仿宋_GB2312" w:cs="仿宋_GB2312" w:eastAsia="仿宋_GB2312"/>
        </w:rPr>
        <w:t>10、承诺函：提供具有履行服务合同所必需的设备和专业技术能力的承诺函；</w:t>
      </w:r>
    </w:p>
    <w:p>
      <w:pPr>
        <w:pStyle w:val="null3"/>
      </w:pPr>
      <w:r>
        <w:rPr>
          <w:rFonts w:ascii="仿宋_GB2312" w:hAnsi="仿宋_GB2312" w:cs="仿宋_GB2312" w:eastAsia="仿宋_GB2312"/>
        </w:rPr>
        <w:t>11、控股、管理关系：单位负责人为同一人或者存在控股、管理关系的不同供应商，不得同时参加本项目采购活动；</w:t>
      </w:r>
    </w:p>
    <w:p>
      <w:pPr>
        <w:pStyle w:val="null3"/>
      </w:pPr>
      <w:r>
        <w:rPr>
          <w:rFonts w:ascii="仿宋_GB2312" w:hAnsi="仿宋_GB2312" w:cs="仿宋_GB2312" w:eastAsia="仿宋_GB2312"/>
        </w:rPr>
        <w:t>12、本项目接受联合体投标：①本项目接受联合体投标，组成联合体成员家数不得超过3个。若联合体投标时须明确牵头单位，联合体牵头单位代表联合体各方办理本项目招投标活动过程中的一切事务，联合体应满足资格审查条件中规定的相应资质。牵头单位和其法定代表人或其委托代理人的印章或签字代表联合体各成员单位相应的印章或签字。联合体各方不得再以自己的名义单独或参加其他联合体在同一标段投标，否则其投标和与此相关的联合体投标将被拒绝。联合体各方须无不良行为记录。②若联合体投标，以上要求包括联合体各方。</w:t>
      </w:r>
    </w:p>
    <w:p>
      <w:pPr>
        <w:pStyle w:val="null3"/>
      </w:pPr>
      <w:r>
        <w:rPr>
          <w:rFonts w:ascii="仿宋_GB2312" w:hAnsi="仿宋_GB2312" w:cs="仿宋_GB2312" w:eastAsia="仿宋_GB2312"/>
        </w:rPr>
        <w:t>13、中小企业声明函：本项目专门面向中小企业采购（须提供中小企业声明函）。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西安碑林博物馆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陕西省西安市碑林区三学街15号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029-87210764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陕西海堂项目管理咨询有限公司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西安市雁塔区电子二路青松公寓二楼西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采购包1：760,340.00元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开户名称：陕西海堂项目管理咨询有限公司</w:t>
            </w:r>
          </w:p>
          <w:p>
            <w:pPr>
              <w:pStyle w:val="null3"/>
            </w:pPr>
            <w:r>
              <w:rPr>
                <w:rFonts w:ascii="仿宋_GB2312" w:hAnsi="仿宋_GB2312" w:cs="仿宋_GB2312" w:eastAsia="仿宋_GB2312"/>
              </w:rPr>
              <w:t>开户银行：中国建设银行股份有限公司西安文艺北路支行</w:t>
            </w:r>
          </w:p>
          <w:p>
            <w:pPr>
              <w:pStyle w:val="null3"/>
            </w:pPr>
            <w:r>
              <w:rPr>
                <w:rFonts w:ascii="仿宋_GB2312" w:hAnsi="仿宋_GB2312" w:cs="仿宋_GB2312" w:eastAsia="仿宋_GB2312"/>
              </w:rPr>
              <w:t>银行账号：61050172400000000275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说明：合同签订前，乙方须向甲方缴纳合同总金额5%的履约保证金，履约保证金待乙方履行完毕全部合同义务，并经甲方履约验收合格，无任何纠纷后无息退还。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服务费按约定由成交供应商支付。2、招标代理服务费为依据&lt;&lt;招标代理服务收费管理暂行办法&gt;&gt;(计价格[2002]1980号)及&lt;&lt;关于降低部分建设项目收费标准规范收费行为等有关问题的通&gt;&gt;[2011]534号文件的规定标准计算，不足伍仟按伍仟元收取。3、本项目代理服务费按服务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西安碑林博物馆</w:t>
      </w:r>
      <w:r>
        <w:rPr>
          <w:rFonts w:ascii="仿宋_GB2312" w:hAnsi="仿宋_GB2312" w:cs="仿宋_GB2312" w:eastAsia="仿宋_GB2312"/>
        </w:rPr>
        <w:t>和</w:t>
      </w:r>
      <w:r>
        <w:rPr>
          <w:rFonts w:ascii="仿宋_GB2312" w:hAnsi="仿宋_GB2312" w:cs="仿宋_GB2312" w:eastAsia="仿宋_GB2312"/>
        </w:rPr>
        <w:t>陕西海堂项目管理咨询有限公司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西安碑林博物馆</w:t>
      </w:r>
      <w:r>
        <w:rPr>
          <w:rFonts w:ascii="仿宋_GB2312" w:hAnsi="仿宋_GB2312" w:cs="仿宋_GB2312" w:eastAsia="仿宋_GB2312"/>
        </w:rPr>
        <w:t>负责解释。除上述磋商文件内容，其他内容由</w:t>
      </w:r>
      <w:r>
        <w:rPr>
          <w:rFonts w:ascii="仿宋_GB2312" w:hAnsi="仿宋_GB2312" w:cs="仿宋_GB2312" w:eastAsia="仿宋_GB2312"/>
        </w:rPr>
        <w:t>陕西海堂项目管理咨询有限公司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西安碑林博物馆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陕西海堂项目管理咨询有限公司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采购包1：分包比例10%，分包履行的内容：分包内容:直饮水系统维保。 若成交供应商不具备上述允许分包相应资质的，应由具有分包项目相应资质的专业单位进行实施，其分包人须事先报采购人审核批准，且承包人仍应直接向采购人负责，承担连带责任。 资质要求:持有涉水产品卫生许可批件，或设备生产厂家出具的授权书及售后服务承诺书；分包单位须经采购人书面确认，并在响应文件中附分包协议及资质证明。；资质要求详见第4章</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陕西海堂项目管理咨询有限公司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陕西海堂项目管理咨询有限公司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陕西海堂项目管理咨询有限公司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联系人：李姣</w:t>
      </w:r>
    </w:p>
    <w:p>
      <w:pPr>
        <w:pStyle w:val="null3"/>
      </w:pPr>
      <w:r>
        <w:rPr>
          <w:rFonts w:ascii="仿宋_GB2312" w:hAnsi="仿宋_GB2312" w:cs="仿宋_GB2312" w:eastAsia="仿宋_GB2312"/>
        </w:rPr>
        <w:t>联系电话：029-85266606</w:t>
      </w:r>
    </w:p>
    <w:p>
      <w:pPr>
        <w:pStyle w:val="null3"/>
      </w:pPr>
      <w:r>
        <w:rPr>
          <w:rFonts w:ascii="仿宋_GB2312" w:hAnsi="仿宋_GB2312" w:cs="仿宋_GB2312" w:eastAsia="仿宋_GB2312"/>
        </w:rPr>
        <w:t>地址：西安市雁塔区电子二路青松公寓二楼西</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本项目要求供应商提供以下设施设备的日常维保、定期检查、预防性维护、故障维修及应急抢修服务。具体内容详见竞争性磋商文件。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760,340.00</w:t>
      </w:r>
    </w:p>
    <w:p>
      <w:pPr>
        <w:pStyle w:val="null3"/>
      </w:pPr>
      <w:r>
        <w:rPr>
          <w:rFonts w:ascii="仿宋_GB2312" w:hAnsi="仿宋_GB2312" w:cs="仿宋_GB2312" w:eastAsia="仿宋_GB2312"/>
        </w:rPr>
        <w:t>采购包最高限价（元）: 760,340.00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2026年度设施设备维保服务项目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760,340.00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标的名称：2026年度设施设备维保服务项目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jc w:val="both"/>
            </w:pPr>
            <w:r>
              <w:rPr>
                <w:rFonts w:ascii="仿宋_GB2312" w:hAnsi="仿宋_GB2312" w:cs="仿宋_GB2312" w:eastAsia="仿宋_GB2312"/>
                <w:sz w:val="24"/>
              </w:rPr>
              <w:t>项目名称：西安碑林博物馆</w:t>
            </w:r>
            <w:r>
              <w:rPr>
                <w:rFonts w:ascii="仿宋_GB2312" w:hAnsi="仿宋_GB2312" w:cs="仿宋_GB2312" w:eastAsia="仿宋_GB2312"/>
                <w:sz w:val="24"/>
              </w:rPr>
              <w:t>2026年度设施设备维保及维修服务项目</w:t>
            </w:r>
          </w:p>
          <w:p>
            <w:pPr>
              <w:pStyle w:val="null3"/>
              <w:jc w:val="both"/>
            </w:pPr>
            <w:r>
              <w:rPr>
                <w:rFonts w:ascii="仿宋_GB2312" w:hAnsi="仿宋_GB2312" w:cs="仿宋_GB2312" w:eastAsia="仿宋_GB2312"/>
                <w:sz w:val="24"/>
              </w:rPr>
              <w:t>服务期限：一年（</w:t>
            </w:r>
            <w:r>
              <w:rPr>
                <w:rFonts w:ascii="仿宋_GB2312" w:hAnsi="仿宋_GB2312" w:cs="仿宋_GB2312" w:eastAsia="仿宋_GB2312"/>
                <w:sz w:val="24"/>
              </w:rPr>
              <w:t>2026年度），具体起止时间以合同约定为准。</w:t>
            </w:r>
          </w:p>
          <w:p>
            <w:pPr>
              <w:pStyle w:val="null3"/>
              <w:jc w:val="both"/>
            </w:pPr>
            <w:r>
              <w:rPr>
                <w:rFonts w:ascii="仿宋_GB2312" w:hAnsi="仿宋_GB2312" w:cs="仿宋_GB2312" w:eastAsia="仿宋_GB2312"/>
                <w:sz w:val="24"/>
              </w:rPr>
              <w:t>服务地点：西安碑林博物馆馆区（含老馆区及办公区）</w:t>
            </w:r>
          </w:p>
          <w:p>
            <w:pPr>
              <w:pStyle w:val="null3"/>
              <w:jc w:val="both"/>
            </w:pPr>
            <w:r>
              <w:rPr>
                <w:rFonts w:ascii="仿宋_GB2312" w:hAnsi="仿宋_GB2312" w:cs="仿宋_GB2312" w:eastAsia="仿宋_GB2312"/>
                <w:sz w:val="24"/>
                <w:b/>
              </w:rPr>
              <w:t>二、服务内容</w:t>
            </w:r>
          </w:p>
          <w:p>
            <w:pPr>
              <w:pStyle w:val="null3"/>
              <w:jc w:val="both"/>
            </w:pPr>
            <w:r>
              <w:rPr>
                <w:rFonts w:ascii="仿宋_GB2312" w:hAnsi="仿宋_GB2312" w:cs="仿宋_GB2312" w:eastAsia="仿宋_GB2312"/>
                <w:sz w:val="24"/>
              </w:rPr>
              <w:t>本项目要求投标单位提供以下设施设备的日常维保、定期检查、预防性维护、故障维修及应急抢修服务：老馆区货运电梯；中央空调系统；高、低压配电柜；备用发电机组；馆区及办公区直饮水系统；老馆区分体空调（维修服务）。</w:t>
            </w:r>
          </w:p>
          <w:p>
            <w:pPr>
              <w:pStyle w:val="null3"/>
              <w:jc w:val="both"/>
            </w:pPr>
            <w:r>
              <w:rPr>
                <w:rFonts w:ascii="仿宋_GB2312" w:hAnsi="仿宋_GB2312" w:cs="仿宋_GB2312" w:eastAsia="仿宋_GB2312"/>
                <w:sz w:val="24"/>
                <w:b/>
              </w:rPr>
              <w:t>三、服务要求</w:t>
            </w:r>
          </w:p>
          <w:p>
            <w:pPr>
              <w:pStyle w:val="null3"/>
              <w:jc w:val="both"/>
            </w:pPr>
            <w:r>
              <w:rPr>
                <w:rFonts w:ascii="仿宋_GB2312" w:hAnsi="仿宋_GB2312" w:cs="仿宋_GB2312" w:eastAsia="仿宋_GB2312"/>
                <w:sz w:val="24"/>
              </w:rPr>
              <w:t>响应时效：</w:t>
            </w:r>
          </w:p>
          <w:p>
            <w:pPr>
              <w:pStyle w:val="null3"/>
              <w:jc w:val="both"/>
            </w:pPr>
            <w:r>
              <w:rPr>
                <w:rFonts w:ascii="仿宋_GB2312" w:hAnsi="仿宋_GB2312" w:cs="仿宋_GB2312" w:eastAsia="仿宋_GB2312"/>
                <w:sz w:val="24"/>
              </w:rPr>
              <w:t>一般故障：接到报修后</w:t>
            </w:r>
            <w:r>
              <w:rPr>
                <w:rFonts w:ascii="仿宋_GB2312" w:hAnsi="仿宋_GB2312" w:cs="仿宋_GB2312" w:eastAsia="仿宋_GB2312"/>
                <w:sz w:val="24"/>
              </w:rPr>
              <w:t>2小时内响应，24小时内修复。</w:t>
            </w:r>
          </w:p>
          <w:p>
            <w:pPr>
              <w:pStyle w:val="null3"/>
              <w:jc w:val="both"/>
            </w:pPr>
            <w:r>
              <w:rPr>
                <w:rFonts w:ascii="仿宋_GB2312" w:hAnsi="仿宋_GB2312" w:cs="仿宋_GB2312" w:eastAsia="仿宋_GB2312"/>
                <w:sz w:val="24"/>
              </w:rPr>
              <w:t>紧急情况（影响安全或运营的重大故障）：接到通知后</w:t>
            </w:r>
            <w:r>
              <w:rPr>
                <w:rFonts w:ascii="仿宋_GB2312" w:hAnsi="仿宋_GB2312" w:cs="仿宋_GB2312" w:eastAsia="仿宋_GB2312"/>
                <w:sz w:val="24"/>
              </w:rPr>
              <w:t>1小时内到场，4小时内恢复基本功能。</w:t>
            </w:r>
          </w:p>
          <w:p>
            <w:pPr>
              <w:pStyle w:val="null3"/>
              <w:jc w:val="both"/>
            </w:pPr>
            <w:r>
              <w:rPr>
                <w:rFonts w:ascii="仿宋_GB2312" w:hAnsi="仿宋_GB2312" w:cs="仿宋_GB2312" w:eastAsia="仿宋_GB2312"/>
                <w:sz w:val="24"/>
              </w:rPr>
              <w:t>维保频次：电梯、配电柜、发电机：每月至少一次常规巡检，每季度一次全面保养。</w:t>
            </w:r>
          </w:p>
          <w:p>
            <w:pPr>
              <w:pStyle w:val="null3"/>
              <w:jc w:val="both"/>
            </w:pPr>
            <w:r>
              <w:rPr>
                <w:rFonts w:ascii="仿宋_GB2312" w:hAnsi="仿宋_GB2312" w:cs="仿宋_GB2312" w:eastAsia="仿宋_GB2312"/>
                <w:sz w:val="24"/>
              </w:rPr>
              <w:t>中央空调：换季开机前全面检查，运行期间每月巡检，每年至少两次深度清洗保养。</w:t>
            </w:r>
          </w:p>
          <w:p>
            <w:pPr>
              <w:pStyle w:val="null3"/>
              <w:jc w:val="both"/>
            </w:pPr>
            <w:r>
              <w:rPr>
                <w:rFonts w:ascii="仿宋_GB2312" w:hAnsi="仿宋_GB2312" w:cs="仿宋_GB2312" w:eastAsia="仿宋_GB2312"/>
                <w:sz w:val="24"/>
              </w:rPr>
              <w:t>直饮水系统：每月巡检，每季度更换滤芯并出具水质检测报告。</w:t>
            </w:r>
          </w:p>
          <w:p>
            <w:pPr>
              <w:pStyle w:val="null3"/>
              <w:jc w:val="both"/>
            </w:pPr>
            <w:r>
              <w:rPr>
                <w:rFonts w:ascii="仿宋_GB2312" w:hAnsi="仿宋_GB2312" w:cs="仿宋_GB2312" w:eastAsia="仿宋_GB2312"/>
                <w:sz w:val="24"/>
              </w:rPr>
              <w:t>分体空调：按需维修，每年</w:t>
            </w:r>
            <w:r>
              <w:rPr>
                <w:rFonts w:ascii="仿宋_GB2312" w:hAnsi="仿宋_GB2312" w:cs="仿宋_GB2312" w:eastAsia="仿宋_GB2312"/>
                <w:sz w:val="24"/>
              </w:rPr>
              <w:t>4月前完成全部机组的清洗、加氟及运行测试。</w:t>
            </w:r>
          </w:p>
          <w:p>
            <w:pPr>
              <w:pStyle w:val="null3"/>
              <w:jc w:val="both"/>
            </w:pPr>
            <w:r>
              <w:rPr>
                <w:rFonts w:ascii="仿宋_GB2312" w:hAnsi="仿宋_GB2312" w:cs="仿宋_GB2312" w:eastAsia="仿宋_GB2312"/>
                <w:sz w:val="24"/>
              </w:rPr>
              <w:t>预防性检测：每年提供高低压配电柜的预防性试验及继电保护校验报告。</w:t>
            </w:r>
          </w:p>
          <w:p>
            <w:pPr>
              <w:pStyle w:val="null3"/>
              <w:jc w:val="both"/>
            </w:pPr>
            <w:r>
              <w:rPr>
                <w:rFonts w:ascii="仿宋_GB2312" w:hAnsi="仿宋_GB2312" w:cs="仿宋_GB2312" w:eastAsia="仿宋_GB2312"/>
                <w:sz w:val="24"/>
              </w:rPr>
              <w:t>每年对发电机进行负载测试及蓄电池检测。</w:t>
            </w:r>
          </w:p>
          <w:p>
            <w:pPr>
              <w:pStyle w:val="null3"/>
              <w:jc w:val="both"/>
            </w:pPr>
            <w:r>
              <w:rPr>
                <w:rFonts w:ascii="仿宋_GB2312" w:hAnsi="仿宋_GB2312" w:cs="仿宋_GB2312" w:eastAsia="仿宋_GB2312"/>
                <w:sz w:val="24"/>
              </w:rPr>
              <w:t>提供所有设备的年度运行评估报告及下一年度维保建议。</w:t>
            </w:r>
          </w:p>
          <w:p>
            <w:pPr>
              <w:pStyle w:val="null3"/>
              <w:jc w:val="both"/>
            </w:pPr>
            <w:r>
              <w:rPr>
                <w:rFonts w:ascii="仿宋_GB2312" w:hAnsi="仿宋_GB2312" w:cs="仿宋_GB2312" w:eastAsia="仿宋_GB2312"/>
                <w:sz w:val="24"/>
              </w:rPr>
              <w:t>备件要求：更换的配件须为原厂或同等技术标准合格产品，并提供来源证明。</w:t>
            </w:r>
          </w:p>
          <w:p>
            <w:pPr>
              <w:pStyle w:val="null3"/>
              <w:jc w:val="both"/>
            </w:pPr>
            <w:r>
              <w:rPr>
                <w:rFonts w:ascii="仿宋_GB2312" w:hAnsi="仿宋_GB2312" w:cs="仿宋_GB2312" w:eastAsia="仿宋_GB2312"/>
                <w:sz w:val="24"/>
              </w:rPr>
              <w:t>人员要求：指派固定的项目负责人及维保团队，成员须持有相应工种的操作证（如电工证、电梯维修证、制冷与空调作业证等）。</w:t>
            </w:r>
          </w:p>
          <w:p>
            <w:pPr>
              <w:pStyle w:val="null3"/>
              <w:jc w:val="both"/>
            </w:pPr>
            <w:r>
              <w:rPr>
                <w:rFonts w:ascii="仿宋_GB2312" w:hAnsi="仿宋_GB2312" w:cs="仿宋_GB2312" w:eastAsia="仿宋_GB2312"/>
                <w:sz w:val="24"/>
              </w:rPr>
              <w:t>安全管理：遵守博物馆各项管理规定，动火、临时用电等作业须提前办理审批手续。</w:t>
            </w:r>
          </w:p>
          <w:p>
            <w:pPr>
              <w:pStyle w:val="null3"/>
              <w:jc w:val="both"/>
            </w:pPr>
            <w:r>
              <w:rPr>
                <w:rFonts w:ascii="仿宋_GB2312" w:hAnsi="仿宋_GB2312" w:cs="仿宋_GB2312" w:eastAsia="仿宋_GB2312"/>
                <w:sz w:val="24"/>
              </w:rPr>
              <w:t>维保过程中对文物及古建筑采取保护措施，因操作不当造成损失的由中标人承担全部责任。</w:t>
            </w:r>
          </w:p>
          <w:p>
            <w:pPr>
              <w:pStyle w:val="null3"/>
              <w:jc w:val="both"/>
            </w:pPr>
            <w:r>
              <w:rPr>
                <w:rFonts w:ascii="仿宋_GB2312" w:hAnsi="仿宋_GB2312" w:cs="仿宋_GB2312" w:eastAsia="仿宋_GB2312"/>
                <w:sz w:val="24"/>
              </w:rPr>
              <w:t>直饮水系统维保：持有涉水产品卫生许可批件，或设备生产厂家出具的授权书及售后服务承诺书（允许专业分包，但需提供分包单位的资质证明及合作协议）。</w:t>
            </w:r>
          </w:p>
          <w:p>
            <w:pPr>
              <w:pStyle w:val="null3"/>
              <w:jc w:val="both"/>
            </w:pPr>
            <w:r>
              <w:rPr>
                <w:rFonts w:ascii="仿宋_GB2312" w:hAnsi="仿宋_GB2312" w:cs="仿宋_GB2312" w:eastAsia="仿宋_GB2312"/>
                <w:sz w:val="24"/>
              </w:rPr>
              <w:t>四、商务要求</w:t>
            </w:r>
          </w:p>
          <w:p>
            <w:pPr>
              <w:pStyle w:val="null3"/>
              <w:jc w:val="both"/>
            </w:pPr>
            <w:r>
              <w:rPr>
                <w:rFonts w:ascii="仿宋_GB2312" w:hAnsi="仿宋_GB2312" w:cs="仿宋_GB2312" w:eastAsia="仿宋_GB2312"/>
                <w:sz w:val="24"/>
              </w:rPr>
              <w:t>报价方式：本项目总价包干（含人工、工具、常用耗材、检测费、税费等），更换主要配件费用另计或包含在报价中，由投标人明确说明。</w:t>
            </w:r>
          </w:p>
          <w:p>
            <w:pPr>
              <w:pStyle w:val="null3"/>
              <w:jc w:val="both"/>
            </w:pPr>
            <w:r>
              <w:rPr>
                <w:rFonts w:ascii="仿宋_GB2312" w:hAnsi="仿宋_GB2312" w:cs="仿宋_GB2312" w:eastAsia="仿宋_GB2312"/>
                <w:sz w:val="24"/>
              </w:rPr>
              <w:t>付款方式：合同签订后支付</w:t>
            </w:r>
            <w:r>
              <w:rPr>
                <w:rFonts w:ascii="仿宋_GB2312" w:hAnsi="仿宋_GB2312" w:cs="仿宋_GB2312" w:eastAsia="仿宋_GB2312"/>
                <w:sz w:val="24"/>
              </w:rPr>
              <w:t>30%，服务满半年支付40%，服务期满且验收合格支付剩余30%。</w:t>
            </w:r>
          </w:p>
          <w:p>
            <w:pPr>
              <w:pStyle w:val="null3"/>
              <w:jc w:val="both"/>
            </w:pPr>
            <w:r>
              <w:rPr>
                <w:rFonts w:ascii="仿宋_GB2312" w:hAnsi="仿宋_GB2312" w:cs="仿宋_GB2312" w:eastAsia="仿宋_GB2312"/>
                <w:sz w:val="24"/>
              </w:rPr>
              <w:t>履约保证金：中标后按合同金额的</w:t>
            </w:r>
            <w:r>
              <w:rPr>
                <w:rFonts w:ascii="仿宋_GB2312" w:hAnsi="仿宋_GB2312" w:cs="仿宋_GB2312" w:eastAsia="仿宋_GB2312"/>
                <w:sz w:val="24"/>
              </w:rPr>
              <w:t>5%缴纳履约保证金，服务期满无违约则无息退还。</w:t>
            </w:r>
          </w:p>
          <w:p>
            <w:pPr>
              <w:pStyle w:val="null3"/>
              <w:jc w:val="both"/>
            </w:pPr>
            <w:r>
              <w:rPr>
                <w:rFonts w:ascii="仿宋_GB2312" w:hAnsi="仿宋_GB2312" w:cs="仿宋_GB2312" w:eastAsia="仿宋_GB2312"/>
                <w:sz w:val="24"/>
              </w:rPr>
              <w:t>五、考核与续签：</w:t>
            </w:r>
          </w:p>
          <w:p>
            <w:pPr>
              <w:pStyle w:val="null3"/>
              <w:jc w:val="both"/>
            </w:pPr>
            <w:r>
              <w:rPr>
                <w:rFonts w:ascii="仿宋_GB2312" w:hAnsi="仿宋_GB2312" w:cs="仿宋_GB2312" w:eastAsia="仿宋_GB2312"/>
                <w:sz w:val="24"/>
              </w:rPr>
              <w:t>采购人每季度对服务质量进</w:t>
            </w:r>
            <w:r>
              <w:rPr>
                <w:rFonts w:ascii="仿宋_GB2312" w:hAnsi="仿宋_GB2312" w:cs="仿宋_GB2312" w:eastAsia="仿宋_GB2312"/>
                <w:sz w:val="24"/>
              </w:rPr>
              <w:t>行考核（考核表见</w:t>
            </w:r>
            <w:r>
              <w:rPr>
                <w:rFonts w:ascii="仿宋_GB2312" w:hAnsi="仿宋_GB2312" w:cs="仿宋_GB2312" w:eastAsia="仿宋_GB2312"/>
                <w:sz w:val="24"/>
              </w:rPr>
              <w:t>磋商</w:t>
            </w:r>
            <w:r>
              <w:rPr>
                <w:rFonts w:ascii="仿宋_GB2312" w:hAnsi="仿宋_GB2312" w:cs="仿宋_GB2312" w:eastAsia="仿宋_GB2312"/>
                <w:sz w:val="24"/>
              </w:rPr>
              <w:t>文件附件）。</w:t>
            </w:r>
            <w:r>
              <w:rPr>
                <w:rFonts w:ascii="仿宋_GB2312" w:hAnsi="仿宋_GB2312" w:cs="仿宋_GB2312" w:eastAsia="仿宋_GB2312"/>
                <w:sz w:val="24"/>
              </w:rPr>
              <w:t>服务单位在履约评价中需达到合格标准。（年度平均分</w:t>
            </w:r>
            <w:r>
              <w:rPr>
                <w:rFonts w:ascii="仿宋_GB2312" w:hAnsi="仿宋_GB2312" w:cs="仿宋_GB2312" w:eastAsia="仿宋_GB2312"/>
                <w:sz w:val="24"/>
              </w:rPr>
              <w:t>≥85分）</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single"/>
                <w:left w:val="single"/>
                <w:bottom w:val="single"/>
                <w:right w:val="single"/>
                <w:insideH w:val="single"/>
                <w:insideV w:val="single"/>
              </w:tblBorders>
            </w:tblPr>
            <w:tblGrid>
              <w:gridCol w:w="192"/>
              <w:gridCol w:w="469"/>
              <w:gridCol w:w="812"/>
              <w:gridCol w:w="469"/>
              <w:gridCol w:w="469"/>
              <w:gridCol w:w="776"/>
            </w:tblGrid>
            <w:tr>
              <w:tc>
                <w:tcPr>
                  <w:tcW w:type="dxa" w:w="3187"/>
                  <w:gridSpan w:val="6"/>
                  <w:tcBorders>
                    <w:top w:val="single" w:color="000000" w:sz="4"/>
                    <w:left w:val="single" w:color="000000" w:sz="4"/>
                    <w:bottom w:val="single" w:color="000000" w:sz="4"/>
                    <w:right w:val="single" w:color="000000" w:sz="4"/>
                  </w:tcBorders>
                  <w:shd w:fill="E7E6E6"/>
                  <w:tcMar>
                    <w:top w:type="dxa" w:w="15"/>
                    <w:left w:type="dxa" w:w="15"/>
                    <w:right w:type="dxa" w:w="15"/>
                  </w:tcMar>
                  <w:vAlign w:val="center"/>
                </w:tcPr>
                <w:p>
                  <w:pPr>
                    <w:pStyle w:val="null3"/>
                    <w:jc w:val="center"/>
                  </w:pPr>
                  <w:r>
                    <w:rPr>
                      <w:rFonts w:ascii="仿宋_GB2312" w:hAnsi="仿宋_GB2312" w:cs="仿宋_GB2312" w:eastAsia="仿宋_GB2312"/>
                      <w:sz w:val="22"/>
                      <w:color w:val="000000"/>
                    </w:rPr>
                    <w:t>老馆区货运电梯维保</w:t>
                  </w:r>
                </w:p>
              </w:tc>
            </w:tr>
            <w:tr>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序号</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名称</w:t>
                  </w: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维保项目</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数量</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单位</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维保内容</w:t>
                  </w:r>
                </w:p>
              </w:tc>
            </w:tr>
            <w:tr>
              <w:tc>
                <w:tcPr>
                  <w:tcW w:type="dxa" w:w="19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46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液压货梯*1台</w:t>
                  </w: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月度日常维护保养服务</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次</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接线紧固、滤网清洗、油位检查、异常排查</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液压系统深度检修</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次</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液压系统泄露检查、过滤器清洗、管路紧固全年四次</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半年维护</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次</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安全装置全面检测、水平度校准、轨道校准清理、电机校准清理、静载实验</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年度检查更换</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次</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液压油更换、、密封更换、液压滤芯更换、润滑油加注</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平台费用</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次</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西安市平台和陕西省平台信息维护、年检申报、合同备案、赋码及标识张贴、配合监督检查等</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紧急故障维修</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项</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7x24小时响应</w:t>
                  </w:r>
                </w:p>
              </w:tc>
            </w:tr>
            <w:tr>
              <w:tc>
                <w:tcPr>
                  <w:tcW w:type="dxa" w:w="3187"/>
                  <w:gridSpan w:val="6"/>
                  <w:tcBorders>
                    <w:top w:val="single" w:color="000000" w:sz="4"/>
                    <w:left w:val="single" w:color="000000" w:sz="4"/>
                    <w:bottom w:val="single" w:color="000000" w:sz="4"/>
                    <w:right w:val="single" w:color="000000" w:sz="4"/>
                  </w:tcBorders>
                  <w:shd w:fill="E7E6E6"/>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中央空调维保</w:t>
                  </w:r>
                </w:p>
              </w:tc>
            </w:tr>
            <w:tr>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序号</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名称</w:t>
                  </w: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维保项目</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数量</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单位</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维保内容</w:t>
                  </w:r>
                </w:p>
              </w:tc>
            </w:tr>
            <w:tr>
              <w:tc>
                <w:tcPr>
                  <w:tcW w:type="dxa" w:w="192"/>
                  <w:vMerge w:val="restart"/>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469"/>
                  <w:vMerge w:val="restart"/>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19XR离心机*2台</w:t>
                  </w: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离心机冷冻油</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桶</w:t>
                  </w:r>
                </w:p>
              </w:tc>
              <w:tc>
                <w:tcPr>
                  <w:tcW w:type="dxa" w:w="77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年度保养机组更换</w:t>
                  </w:r>
                </w:p>
              </w:tc>
            </w:tr>
            <w:tr>
              <w:tc>
                <w:tcPr>
                  <w:tcW w:type="dxa" w:w="192"/>
                  <w:vMerge/>
                  <w:tcBorders>
                    <w:top w:val="single" w:color="000000" w:sz="4"/>
                    <w:left w:val="single" w:color="000000" w:sz="4"/>
                    <w:bottom w:val="none" w:color="000000" w:sz="4"/>
                    <w:right w:val="single" w:color="000000" w:sz="4"/>
                  </w:tcBorders>
                </w:tcPr>
                <w:p/>
              </w:tc>
              <w:tc>
                <w:tcPr>
                  <w:tcW w:type="dxa" w:w="469"/>
                  <w:vMerge/>
                  <w:tcBorders>
                    <w:top w:val="single" w:color="000000" w:sz="4"/>
                    <w:left w:val="single" w:color="000000" w:sz="4"/>
                    <w:bottom w:val="non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油过滤器</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776"/>
                  <w:vMerge/>
                  <w:tcBorders>
                    <w:top w:val="single" w:color="000000" w:sz="4"/>
                    <w:left w:val="single" w:color="000000" w:sz="4"/>
                    <w:bottom w:val="single" w:color="000000" w:sz="4"/>
                    <w:right w:val="single" w:color="000000" w:sz="4"/>
                  </w:tcBorders>
                </w:tcPr>
                <w:p/>
              </w:tc>
            </w:tr>
            <w:tr>
              <w:tc>
                <w:tcPr>
                  <w:tcW w:type="dxa" w:w="192"/>
                  <w:vMerge/>
                  <w:tcBorders>
                    <w:top w:val="single" w:color="000000" w:sz="4"/>
                    <w:left w:val="single" w:color="000000" w:sz="4"/>
                    <w:bottom w:val="none" w:color="000000" w:sz="4"/>
                    <w:right w:val="single" w:color="000000" w:sz="4"/>
                  </w:tcBorders>
                </w:tcPr>
                <w:p/>
              </w:tc>
              <w:tc>
                <w:tcPr>
                  <w:tcW w:type="dxa" w:w="469"/>
                  <w:vMerge/>
                  <w:tcBorders>
                    <w:top w:val="single" w:color="000000" w:sz="4"/>
                    <w:left w:val="single" w:color="000000" w:sz="4"/>
                    <w:bottom w:val="non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回油过滤器</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776"/>
                  <w:vMerge/>
                  <w:tcBorders>
                    <w:top w:val="single" w:color="000000" w:sz="4"/>
                    <w:left w:val="single" w:color="000000" w:sz="4"/>
                    <w:bottom w:val="single" w:color="000000" w:sz="4"/>
                    <w:right w:val="single" w:color="000000" w:sz="4"/>
                  </w:tcBorders>
                </w:tcPr>
                <w:p/>
              </w:tc>
            </w:tr>
            <w:tr>
              <w:tc>
                <w:tcPr>
                  <w:tcW w:type="dxa" w:w="192"/>
                  <w:vMerge/>
                  <w:tcBorders>
                    <w:top w:val="single" w:color="000000" w:sz="4"/>
                    <w:left w:val="single" w:color="000000" w:sz="4"/>
                    <w:bottom w:val="none" w:color="000000" w:sz="4"/>
                    <w:right w:val="single" w:color="000000" w:sz="4"/>
                  </w:tcBorders>
                </w:tcPr>
                <w:p/>
              </w:tc>
              <w:tc>
                <w:tcPr>
                  <w:tcW w:type="dxa" w:w="469"/>
                  <w:vMerge/>
                  <w:tcBorders>
                    <w:top w:val="single" w:color="000000" w:sz="4"/>
                    <w:left w:val="single" w:color="000000" w:sz="4"/>
                    <w:bottom w:val="non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引射过滤器</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776"/>
                  <w:vMerge/>
                  <w:tcBorders>
                    <w:top w:val="single" w:color="000000" w:sz="4"/>
                    <w:left w:val="single" w:color="000000" w:sz="4"/>
                    <w:bottom w:val="single" w:color="000000" w:sz="4"/>
                    <w:right w:val="single" w:color="000000" w:sz="4"/>
                  </w:tcBorders>
                </w:tcPr>
                <w:p/>
              </w:tc>
            </w:tr>
            <w:tr>
              <w:tc>
                <w:tcPr>
                  <w:tcW w:type="dxa" w:w="192"/>
                  <w:vMerge/>
                  <w:tcBorders>
                    <w:top w:val="single" w:color="000000" w:sz="4"/>
                    <w:left w:val="single" w:color="000000" w:sz="4"/>
                    <w:bottom w:val="none" w:color="000000" w:sz="4"/>
                    <w:right w:val="single" w:color="000000" w:sz="4"/>
                  </w:tcBorders>
                </w:tcPr>
                <w:p/>
              </w:tc>
              <w:tc>
                <w:tcPr>
                  <w:tcW w:type="dxa" w:w="469"/>
                  <w:vMerge/>
                  <w:tcBorders>
                    <w:top w:val="single" w:color="000000" w:sz="4"/>
                    <w:left w:val="single" w:color="000000" w:sz="4"/>
                    <w:bottom w:val="non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干燥过滤器</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776"/>
                  <w:vMerge/>
                  <w:tcBorders>
                    <w:top w:val="single" w:color="000000" w:sz="4"/>
                    <w:left w:val="single" w:color="000000" w:sz="4"/>
                    <w:bottom w:val="single" w:color="000000" w:sz="4"/>
                    <w:right w:val="single" w:color="000000" w:sz="4"/>
                  </w:tcBorders>
                </w:tcPr>
                <w:p/>
              </w:tc>
            </w:tr>
            <w:tr>
              <w:tc>
                <w:tcPr>
                  <w:tcW w:type="dxa" w:w="192"/>
                  <w:vMerge/>
                  <w:tcBorders>
                    <w:top w:val="single" w:color="000000" w:sz="4"/>
                    <w:left w:val="single" w:color="000000" w:sz="4"/>
                    <w:bottom w:val="none" w:color="000000" w:sz="4"/>
                    <w:right w:val="single" w:color="000000" w:sz="4"/>
                  </w:tcBorders>
                </w:tcPr>
                <w:p/>
              </w:tc>
              <w:tc>
                <w:tcPr>
                  <w:tcW w:type="dxa" w:w="469"/>
                  <w:vMerge/>
                  <w:tcBorders>
                    <w:top w:val="single" w:color="000000" w:sz="4"/>
                    <w:left w:val="single" w:color="000000" w:sz="4"/>
                    <w:bottom w:val="non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变频器冷却过滤器</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776"/>
                  <w:vMerge/>
                  <w:tcBorders>
                    <w:top w:val="single" w:color="000000" w:sz="4"/>
                    <w:left w:val="single" w:color="000000" w:sz="4"/>
                    <w:bottom w:val="single" w:color="000000" w:sz="4"/>
                    <w:right w:val="single" w:color="000000" w:sz="4"/>
                  </w:tcBorders>
                </w:tcPr>
                <w:p/>
              </w:tc>
            </w:tr>
            <w:tr>
              <w:tc>
                <w:tcPr>
                  <w:tcW w:type="dxa" w:w="192"/>
                  <w:vMerge/>
                  <w:tcBorders>
                    <w:top w:val="single" w:color="000000" w:sz="4"/>
                    <w:left w:val="single" w:color="000000" w:sz="4"/>
                    <w:bottom w:val="none" w:color="000000" w:sz="4"/>
                    <w:right w:val="single" w:color="000000" w:sz="4"/>
                  </w:tcBorders>
                </w:tcPr>
                <w:p/>
              </w:tc>
              <w:tc>
                <w:tcPr>
                  <w:tcW w:type="dxa" w:w="469"/>
                  <w:vMerge/>
                  <w:tcBorders>
                    <w:top w:val="single" w:color="000000" w:sz="4"/>
                    <w:left w:val="single" w:color="000000" w:sz="4"/>
                    <w:bottom w:val="non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热换器机械＋化学清洗</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机组热换器保养机械通炮及添加药水化学清洗</w:t>
                  </w:r>
                </w:p>
              </w:tc>
            </w:tr>
            <w:tr>
              <w:tc>
                <w:tcPr>
                  <w:tcW w:type="dxa" w:w="192"/>
                  <w:vMerge w:val="restart"/>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469"/>
                  <w:vMerge w:val="restart"/>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30XW螺杆机*1台</w:t>
                  </w: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螺杆机冷冻油</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桶</w:t>
                  </w:r>
                </w:p>
              </w:tc>
              <w:tc>
                <w:tcPr>
                  <w:tcW w:type="dxa" w:w="77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年度保养机组更换</w:t>
                  </w:r>
                </w:p>
              </w:tc>
            </w:tr>
            <w:tr>
              <w:tc>
                <w:tcPr>
                  <w:tcW w:type="dxa" w:w="192"/>
                  <w:vMerge/>
                  <w:tcBorders>
                    <w:top w:val="single" w:color="000000" w:sz="4"/>
                    <w:left w:val="single" w:color="000000" w:sz="4"/>
                    <w:bottom w:val="none" w:color="000000" w:sz="4"/>
                    <w:right w:val="single" w:color="000000" w:sz="4"/>
                  </w:tcBorders>
                </w:tcPr>
                <w:p/>
              </w:tc>
              <w:tc>
                <w:tcPr>
                  <w:tcW w:type="dxa" w:w="469"/>
                  <w:vMerge/>
                  <w:tcBorders>
                    <w:top w:val="single" w:color="000000" w:sz="4"/>
                    <w:left w:val="single" w:color="000000" w:sz="4"/>
                    <w:bottom w:val="non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油过滤器</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776"/>
                  <w:vMerge/>
                  <w:tcBorders>
                    <w:top w:val="single" w:color="000000" w:sz="4"/>
                    <w:left w:val="single" w:color="000000" w:sz="4"/>
                    <w:bottom w:val="single" w:color="000000" w:sz="4"/>
                    <w:right w:val="single" w:color="000000" w:sz="4"/>
                  </w:tcBorders>
                </w:tcPr>
                <w:p/>
              </w:tc>
            </w:tr>
            <w:tr>
              <w:tc>
                <w:tcPr>
                  <w:tcW w:type="dxa" w:w="192"/>
                  <w:vMerge/>
                  <w:tcBorders>
                    <w:top w:val="single" w:color="000000" w:sz="4"/>
                    <w:left w:val="single" w:color="000000" w:sz="4"/>
                    <w:bottom w:val="none" w:color="000000" w:sz="4"/>
                    <w:right w:val="single" w:color="000000" w:sz="4"/>
                  </w:tcBorders>
                </w:tcPr>
                <w:p/>
              </w:tc>
              <w:tc>
                <w:tcPr>
                  <w:tcW w:type="dxa" w:w="469"/>
                  <w:vMerge/>
                  <w:tcBorders>
                    <w:top w:val="single" w:color="000000" w:sz="4"/>
                    <w:left w:val="single" w:color="000000" w:sz="4"/>
                    <w:bottom w:val="non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干燥过滤器</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776"/>
                  <w:vMerge/>
                  <w:tcBorders>
                    <w:top w:val="single" w:color="000000" w:sz="4"/>
                    <w:left w:val="single" w:color="000000" w:sz="4"/>
                    <w:bottom w:val="single" w:color="000000" w:sz="4"/>
                    <w:right w:val="single" w:color="000000" w:sz="4"/>
                  </w:tcBorders>
                </w:tcPr>
                <w:p/>
              </w:tc>
            </w:tr>
            <w:tr>
              <w:tc>
                <w:tcPr>
                  <w:tcW w:type="dxa" w:w="192"/>
                  <w:vMerge/>
                  <w:tcBorders>
                    <w:top w:val="single" w:color="000000" w:sz="4"/>
                    <w:left w:val="single" w:color="000000" w:sz="4"/>
                    <w:bottom w:val="none" w:color="000000" w:sz="4"/>
                    <w:right w:val="single" w:color="000000" w:sz="4"/>
                  </w:tcBorders>
                </w:tcPr>
                <w:p/>
              </w:tc>
              <w:tc>
                <w:tcPr>
                  <w:tcW w:type="dxa" w:w="469"/>
                  <w:vMerge/>
                  <w:tcBorders>
                    <w:top w:val="single" w:color="000000" w:sz="4"/>
                    <w:left w:val="single" w:color="000000" w:sz="4"/>
                    <w:bottom w:val="non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热换器机械＋化学清洗</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机组热换器保养机械通炮及添加药水化学清洗</w:t>
                  </w:r>
                </w:p>
              </w:tc>
            </w:tr>
            <w:tr>
              <w:tc>
                <w:tcPr>
                  <w:tcW w:type="dxa" w:w="19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46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YE3卧式离心泵*10台</w:t>
                  </w: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润滑油</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桶</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水泵及阀门每月加注润滑油</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月度维护</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水泵清洁及易损件检查</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季度维护</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全面拆解、更换易损件</w:t>
                  </w:r>
                </w:p>
              </w:tc>
            </w:tr>
            <w:tr>
              <w:tc>
                <w:tcPr>
                  <w:tcW w:type="dxa" w:w="19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46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YE3立式离心泵*5台</w:t>
                  </w: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润滑油</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桶</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水泵及阀门每月加注润滑油</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月度维护</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水泵清洁及易损件检查</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季度维护</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全面拆解、更换易损件</w:t>
                  </w:r>
                </w:p>
              </w:tc>
            </w:tr>
            <w:tr>
              <w:tc>
                <w:tcPr>
                  <w:tcW w:type="dxa" w:w="192"/>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469"/>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YH15BW供热板换机组*5台</w:t>
                  </w: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润滑油</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桶</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阀门及螺栓加注润滑油</w:t>
                  </w:r>
                </w:p>
              </w:tc>
            </w:tr>
            <w:tr>
              <w:tc>
                <w:tcPr>
                  <w:tcW w:type="dxa" w:w="192"/>
                  <w:vMerge/>
                  <w:tcBorders>
                    <w:top w:val="none" w:color="000000" w:sz="4"/>
                    <w:left w:val="single" w:color="000000" w:sz="4"/>
                    <w:bottom w:val="single" w:color="000000" w:sz="4"/>
                    <w:right w:val="single" w:color="000000" w:sz="4"/>
                  </w:tcBorders>
                </w:tcPr>
                <w:p/>
              </w:tc>
              <w:tc>
                <w:tcPr>
                  <w:tcW w:type="dxa" w:w="469"/>
                  <w:vMerge/>
                  <w:tcBorders>
                    <w:top w:val="non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清洗保养</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供热前常规基础清洗保养及检查</w:t>
                  </w:r>
                </w:p>
              </w:tc>
            </w:tr>
            <w:tr>
              <w:tc>
                <w:tcPr>
                  <w:tcW w:type="dxa" w:w="192"/>
                  <w:vMerge/>
                  <w:tcBorders>
                    <w:top w:val="none" w:color="000000" w:sz="4"/>
                    <w:left w:val="single" w:color="000000" w:sz="4"/>
                    <w:bottom w:val="single" w:color="000000" w:sz="4"/>
                    <w:right w:val="single" w:color="000000" w:sz="4"/>
                  </w:tcBorders>
                </w:tcPr>
                <w:p/>
              </w:tc>
              <w:tc>
                <w:tcPr>
                  <w:tcW w:type="dxa" w:w="469"/>
                  <w:vMerge/>
                  <w:tcBorders>
                    <w:top w:val="non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综合保养</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供热后大保养密封更换。螺栓紧固、阀门加注润滑油、易损件更换、系统调试</w:t>
                  </w:r>
                </w:p>
              </w:tc>
            </w:tr>
            <w:tr>
              <w:tc>
                <w:tcPr>
                  <w:tcW w:type="dxa" w:w="192"/>
                  <w:vMerge w:val="restart"/>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469"/>
                  <w:vMerge w:val="restart"/>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LSTE30KW冷却塔*3台</w:t>
                  </w: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冷却塔清洗</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布水器清洗、填料清洗、集水盘清洗、除垢清洗年度一次</w:t>
                  </w:r>
                </w:p>
              </w:tc>
            </w:tr>
            <w:tr>
              <w:tc>
                <w:tcPr>
                  <w:tcW w:type="dxa" w:w="192"/>
                  <w:vMerge/>
                  <w:tcBorders>
                    <w:top w:val="single" w:color="000000" w:sz="4"/>
                    <w:left w:val="single" w:color="000000" w:sz="4"/>
                    <w:bottom w:val="none" w:color="000000" w:sz="4"/>
                    <w:right w:val="single" w:color="000000" w:sz="4"/>
                  </w:tcBorders>
                </w:tcPr>
                <w:p/>
              </w:tc>
              <w:tc>
                <w:tcPr>
                  <w:tcW w:type="dxa" w:w="469"/>
                  <w:vMerge/>
                  <w:tcBorders>
                    <w:top w:val="single" w:color="000000" w:sz="4"/>
                    <w:left w:val="single" w:color="000000" w:sz="4"/>
                    <w:bottom w:val="non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风机清洗</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清洗涡轮、涡壳、叶片</w:t>
                  </w:r>
                </w:p>
              </w:tc>
            </w:tr>
            <w:tr>
              <w:tc>
                <w:tcPr>
                  <w:tcW w:type="dxa" w:w="192"/>
                  <w:vMerge/>
                  <w:tcBorders>
                    <w:top w:val="single" w:color="000000" w:sz="4"/>
                    <w:left w:val="single" w:color="000000" w:sz="4"/>
                    <w:bottom w:val="none" w:color="000000" w:sz="4"/>
                    <w:right w:val="single" w:color="000000" w:sz="4"/>
                  </w:tcBorders>
                </w:tcPr>
                <w:p/>
              </w:tc>
              <w:tc>
                <w:tcPr>
                  <w:tcW w:type="dxa" w:w="469"/>
                  <w:vMerge/>
                  <w:tcBorders>
                    <w:top w:val="single" w:color="000000" w:sz="4"/>
                    <w:left w:val="single" w:color="000000" w:sz="4"/>
                    <w:bottom w:val="non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轴承保养</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电机轴承定期加注润滑油及平衡校正</w:t>
                  </w:r>
                </w:p>
              </w:tc>
            </w:tr>
            <w:tr>
              <w:tc>
                <w:tcPr>
                  <w:tcW w:type="dxa" w:w="192"/>
                  <w:vMerge/>
                  <w:tcBorders>
                    <w:top w:val="single" w:color="000000" w:sz="4"/>
                    <w:left w:val="single" w:color="000000" w:sz="4"/>
                    <w:bottom w:val="none" w:color="000000" w:sz="4"/>
                    <w:right w:val="single" w:color="000000" w:sz="4"/>
                  </w:tcBorders>
                </w:tcPr>
                <w:p/>
              </w:tc>
              <w:tc>
                <w:tcPr>
                  <w:tcW w:type="dxa" w:w="469"/>
                  <w:vMerge/>
                  <w:tcBorders>
                    <w:top w:val="single" w:color="000000" w:sz="4"/>
                    <w:left w:val="single" w:color="000000" w:sz="4"/>
                    <w:bottom w:val="non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水系统调试及防冻</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项</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水系统循环、补水、水压调试，冬季防冻排水</w:t>
                  </w:r>
                </w:p>
              </w:tc>
            </w:tr>
            <w:tr>
              <w:tc>
                <w:tcPr>
                  <w:tcW w:type="dxa" w:w="192"/>
                  <w:vMerge/>
                  <w:tcBorders>
                    <w:top w:val="single" w:color="000000" w:sz="4"/>
                    <w:left w:val="single" w:color="000000" w:sz="4"/>
                    <w:bottom w:val="none" w:color="000000" w:sz="4"/>
                    <w:right w:val="single" w:color="000000" w:sz="4"/>
                  </w:tcBorders>
                </w:tcPr>
                <w:p/>
              </w:tc>
              <w:tc>
                <w:tcPr>
                  <w:tcW w:type="dxa" w:w="469"/>
                  <w:vMerge/>
                  <w:tcBorders>
                    <w:top w:val="single" w:color="000000" w:sz="4"/>
                    <w:left w:val="single" w:color="000000" w:sz="4"/>
                    <w:bottom w:val="non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皮带</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34</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条</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皮带更换及皮带轮校正</w:t>
                  </w:r>
                </w:p>
              </w:tc>
            </w:tr>
            <w:tr>
              <w:tc>
                <w:tcPr>
                  <w:tcW w:type="dxa" w:w="192"/>
                  <w:vMerge/>
                  <w:tcBorders>
                    <w:top w:val="single" w:color="000000" w:sz="4"/>
                    <w:left w:val="single" w:color="000000" w:sz="4"/>
                    <w:bottom w:val="none" w:color="000000" w:sz="4"/>
                    <w:right w:val="single" w:color="000000" w:sz="4"/>
                  </w:tcBorders>
                </w:tcPr>
                <w:p/>
              </w:tc>
              <w:tc>
                <w:tcPr>
                  <w:tcW w:type="dxa" w:w="469"/>
                  <w:vMerge/>
                  <w:tcBorders>
                    <w:top w:val="single" w:color="000000" w:sz="4"/>
                    <w:left w:val="single" w:color="000000" w:sz="4"/>
                    <w:bottom w:val="non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杀菌灭藻剂</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桶</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水系统运行中定期添加</w:t>
                  </w:r>
                </w:p>
              </w:tc>
            </w:tr>
            <w:tr>
              <w:tc>
                <w:tcPr>
                  <w:tcW w:type="dxa" w:w="192"/>
                  <w:vMerge/>
                  <w:tcBorders>
                    <w:top w:val="single" w:color="000000" w:sz="4"/>
                    <w:left w:val="single" w:color="000000" w:sz="4"/>
                    <w:bottom w:val="none" w:color="000000" w:sz="4"/>
                    <w:right w:val="single" w:color="000000" w:sz="4"/>
                  </w:tcBorders>
                </w:tcPr>
                <w:p/>
              </w:tc>
              <w:tc>
                <w:tcPr>
                  <w:tcW w:type="dxa" w:w="469"/>
                  <w:vMerge/>
                  <w:tcBorders>
                    <w:top w:val="single" w:color="000000" w:sz="4"/>
                    <w:left w:val="single" w:color="000000" w:sz="4"/>
                    <w:bottom w:val="non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缓释阻垢剂</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桶</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水系统运行中定期添加</w:t>
                  </w:r>
                </w:p>
              </w:tc>
            </w:tr>
            <w:tr>
              <w:tc>
                <w:tcPr>
                  <w:tcW w:type="dxa" w:w="192"/>
                  <w:vMerge/>
                  <w:tcBorders>
                    <w:top w:val="single" w:color="000000" w:sz="4"/>
                    <w:left w:val="single" w:color="000000" w:sz="4"/>
                    <w:bottom w:val="none" w:color="000000" w:sz="4"/>
                    <w:right w:val="single" w:color="000000" w:sz="4"/>
                  </w:tcBorders>
                </w:tcPr>
                <w:p/>
              </w:tc>
              <w:tc>
                <w:tcPr>
                  <w:tcW w:type="dxa" w:w="469"/>
                  <w:vMerge/>
                  <w:tcBorders>
                    <w:top w:val="single" w:color="000000" w:sz="4"/>
                    <w:left w:val="single" w:color="000000" w:sz="4"/>
                    <w:bottom w:val="non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软水盐</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40</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袋</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空调冷冻水添加</w:t>
                  </w:r>
                </w:p>
              </w:tc>
            </w:tr>
            <w:tr>
              <w:tc>
                <w:tcPr>
                  <w:tcW w:type="dxa" w:w="19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46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组合式空调机组*34台</w:t>
                  </w: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机柜卫生及过滤网</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34</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运行期每月清洗更换过滤网和清洁柜内卫生</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机柜检查</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34</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表冷器翅片、风机叶轮、皮带、压差及易损件更换</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管道阀门及电动阀</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34</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加注润滑油及检查</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控制柜</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34</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除尘、空开、接触器、继电器、变频器检查及损坏件更换</w:t>
                  </w:r>
                </w:p>
              </w:tc>
            </w:tr>
            <w:tr>
              <w:tc>
                <w:tcPr>
                  <w:tcW w:type="dxa" w:w="192"/>
                  <w:vMerge w:val="restart"/>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469"/>
                  <w:vMerge w:val="restart"/>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风机盘管*218台</w:t>
                  </w: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滤网清洗消毒</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218</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换季清洗年度两次</w:t>
                  </w:r>
                </w:p>
              </w:tc>
            </w:tr>
            <w:tr>
              <w:tc>
                <w:tcPr>
                  <w:tcW w:type="dxa" w:w="192"/>
                  <w:vMerge/>
                  <w:tcBorders>
                    <w:top w:val="single" w:color="000000" w:sz="4"/>
                    <w:left w:val="single" w:color="000000" w:sz="4"/>
                    <w:bottom w:val="none" w:color="000000" w:sz="4"/>
                    <w:right w:val="single" w:color="000000" w:sz="4"/>
                  </w:tcBorders>
                </w:tcPr>
                <w:p/>
              </w:tc>
              <w:tc>
                <w:tcPr>
                  <w:tcW w:type="dxa" w:w="469"/>
                  <w:vMerge/>
                  <w:tcBorders>
                    <w:top w:val="single" w:color="000000" w:sz="4"/>
                    <w:left w:val="single" w:color="000000" w:sz="4"/>
                    <w:bottom w:val="non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空调液晶面板</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按5%损坏率计算</w:t>
                  </w:r>
                </w:p>
              </w:tc>
            </w:tr>
            <w:tr>
              <w:tc>
                <w:tcPr>
                  <w:tcW w:type="dxa" w:w="192"/>
                  <w:vMerge/>
                  <w:tcBorders>
                    <w:top w:val="single" w:color="000000" w:sz="4"/>
                    <w:left w:val="single" w:color="000000" w:sz="4"/>
                    <w:bottom w:val="none" w:color="000000" w:sz="4"/>
                    <w:right w:val="single" w:color="000000" w:sz="4"/>
                  </w:tcBorders>
                </w:tcPr>
                <w:p/>
              </w:tc>
              <w:tc>
                <w:tcPr>
                  <w:tcW w:type="dxa" w:w="469"/>
                  <w:vMerge/>
                  <w:tcBorders>
                    <w:top w:val="single" w:color="000000" w:sz="4"/>
                    <w:left w:val="single" w:color="000000" w:sz="4"/>
                    <w:bottom w:val="non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电动阀执行器</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按5%损坏率计算</w:t>
                  </w:r>
                </w:p>
              </w:tc>
            </w:tr>
            <w:tr>
              <w:tc>
                <w:tcPr>
                  <w:tcW w:type="dxa" w:w="192"/>
                  <w:vMerge/>
                  <w:tcBorders>
                    <w:top w:val="single" w:color="000000" w:sz="4"/>
                    <w:left w:val="single" w:color="000000" w:sz="4"/>
                    <w:bottom w:val="none" w:color="000000" w:sz="4"/>
                    <w:right w:val="single" w:color="000000" w:sz="4"/>
                  </w:tcBorders>
                </w:tcPr>
                <w:p/>
              </w:tc>
              <w:tc>
                <w:tcPr>
                  <w:tcW w:type="dxa" w:w="469"/>
                  <w:vMerge/>
                  <w:tcBorders>
                    <w:top w:val="single" w:color="000000" w:sz="4"/>
                    <w:left w:val="single" w:color="000000" w:sz="4"/>
                    <w:bottom w:val="non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风机电机</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按5%损坏率计算</w:t>
                  </w:r>
                </w:p>
              </w:tc>
            </w:tr>
            <w:tr>
              <w:tc>
                <w:tcPr>
                  <w:tcW w:type="dxa" w:w="19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46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管道式风机*63台</w:t>
                  </w: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月度检查保养</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63</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清洁、紧固、运行检查</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年度检查保养</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63</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叶轮、轴承检查电机绝缘检查及深度清洁</w:t>
                  </w:r>
                </w:p>
              </w:tc>
            </w:tr>
            <w:tr>
              <w:tc>
                <w:tcPr>
                  <w:tcW w:type="dxa" w:w="19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46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H2Y-200高压喷雾*7台</w:t>
                  </w: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月度检查保养</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检查、清洗喷嘴、维护高压管路</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年度检查保养</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更换柱塞泵机油、控制柜检查及损坏件更换</w:t>
                  </w:r>
                </w:p>
              </w:tc>
            </w:tr>
            <w:tr>
              <w:tc>
                <w:tcPr>
                  <w:tcW w:type="dxa" w:w="19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46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空调多联机室外机*17台</w:t>
                  </w: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室外机清洗及检查</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年度清洗一次，及制冷压力、制冷剂检漏、电气绝缘、传感器检查、电控系统部件检查</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制冷剂</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罐</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易耗品加注</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压力、温度传感器</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易损件更换</w:t>
                  </w:r>
                </w:p>
              </w:tc>
            </w:tr>
            <w:tr>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空调多联机室内机*29台</w:t>
                  </w: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滤网清洗消毒</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29</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年度清洗两次</w:t>
                  </w:r>
                </w:p>
              </w:tc>
            </w:tr>
            <w:tr>
              <w:tc>
                <w:tcPr>
                  <w:tcW w:type="dxa" w:w="19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w:t>
                  </w:r>
                </w:p>
              </w:tc>
              <w:tc>
                <w:tcPr>
                  <w:tcW w:type="dxa" w:w="46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恒温恒湿组空调机组*9台</w:t>
                  </w: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机柜卫生及过滤网</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运行期每月清洗更换过滤网和清洁柜内卫生</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机柜检查</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表冷器翅片、风机叶轮、皮带、压差及易损件更换</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管道阀门及电动阀</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加注润滑油及检查</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控制柜</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除尘、空开、接触器、继电器、变频器检查及损坏件更换</w:t>
                  </w:r>
                </w:p>
              </w:tc>
            </w:tr>
            <w:tr>
              <w:tc>
                <w:tcPr>
                  <w:tcW w:type="dxa" w:w="19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w:t>
                  </w:r>
                </w:p>
              </w:tc>
              <w:tc>
                <w:tcPr>
                  <w:tcW w:type="dxa" w:w="46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恒温恒湿高压喷雾*5台</w:t>
                  </w: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月度检查保养</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检查、清洗喷嘴、维护高压管路</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年度检查保养</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更换柱塞泵机油、控制柜检查及损坏件更换</w:t>
                  </w:r>
                </w:p>
              </w:tc>
            </w:tr>
            <w:tr>
              <w:tc>
                <w:tcPr>
                  <w:tcW w:type="dxa" w:w="19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w:t>
                  </w:r>
                </w:p>
              </w:tc>
              <w:tc>
                <w:tcPr>
                  <w:tcW w:type="dxa" w:w="46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吊顶式热回收新风机组*11台</w:t>
                  </w: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机组卫生及过滤网</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运行期每月清洗更换过滤网和清洁柜内卫生</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机柜检查</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表冷器翅片、风机叶轮、皮带、压差及易损件更换</w:t>
                  </w:r>
                </w:p>
              </w:tc>
            </w:tr>
            <w:tr>
              <w:tc>
                <w:tcPr>
                  <w:tcW w:type="dxa" w:w="3187"/>
                  <w:gridSpan w:val="6"/>
                  <w:tcBorders>
                    <w:top w:val="single" w:color="000000" w:sz="4"/>
                    <w:left w:val="single" w:color="000000" w:sz="4"/>
                    <w:bottom w:val="single" w:color="000000" w:sz="4"/>
                    <w:right w:val="single" w:color="000000" w:sz="4"/>
                  </w:tcBorders>
                  <w:shd w:fill="E7E6E6"/>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高、低压配电柜维保</w:t>
                  </w:r>
                </w:p>
              </w:tc>
            </w:tr>
            <w:tr>
              <w:tc>
                <w:tcPr>
                  <w:tcW w:type="dxa" w:w="19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46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北区10KV高压配电柜*18台</w:t>
                  </w: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预防性耐压实验</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绝缘电阻、交流耐压试验</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维护保养</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手动操作机构可靠性、灵活性检查</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接地检测</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检查金属框架的接地检测</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定期检查</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每月巡查检查仪表数据准确性及电气元器件，共12次</w:t>
                  </w:r>
                </w:p>
              </w:tc>
            </w:tr>
            <w:tr>
              <w:tc>
                <w:tcPr>
                  <w:tcW w:type="dxa" w:w="19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46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北区低压配电柜*77台</w:t>
                  </w: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保养元器件检查</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77</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观察各元件的状态，是否有过热变色、发了声响、接触不良等现象</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清洁除尘及柜内检查保养</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77</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检查、紧固柜内一、二次电气回路所有螺丝并红油漆打点标记，整柜清洁除尘，擦拭开关、互感器、仪表、指示灯、接线桩等的积尘和污渍</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电容柜及滤波柜检查</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检查电容补偿柜手动、自动投切功能，电容器、电抗器、接触器功能性，对电容自动补偿控制器设定参数进行查看，修正</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连锁检查</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检查联络柜、变压器进线柜万能式断路器功能性及相互之间的机械连锁、电气联锁安全可靠性</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接地检测</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77</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检查金属框架的接地检测</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定期检查</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77</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每月巡查检查仪表数据准确性及电气元器件，共12次</w:t>
                  </w:r>
                </w:p>
              </w:tc>
            </w:tr>
            <w:tr>
              <w:tc>
                <w:tcPr>
                  <w:tcW w:type="dxa" w:w="19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46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北区变压器*6台</w:t>
                  </w: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清洁除尘及柜内检查保养</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检查、紧固柜内一、二次电气回路所有螺丝并红油漆打点标记，整柜清洁除尘、接线桩等的积尘和污渍</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保养元器件检查</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仪器、仪表检查</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预防性耐压实验</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穿心螺杆、铁芯的绝缘电阻，变比试验，交流耐压试验</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连锁检查</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检查金属框架的接地检测</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定期检查</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每月巡查检查仪表数据准确性及电气元器件，共12次</w:t>
                  </w:r>
                </w:p>
              </w:tc>
            </w:tr>
            <w:tr>
              <w:tc>
                <w:tcPr>
                  <w:tcW w:type="dxa" w:w="19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46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北区直流屏柜*4台</w:t>
                  </w: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直流屏充放电试验</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直流屏充放电试验</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直流屏接地检测</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直流屏接地检测</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定期检查</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每月巡查检查仪表数据准确性及电气元器件，共12次</w:t>
                  </w:r>
                </w:p>
              </w:tc>
            </w:tr>
            <w:tr>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北区高压电力电缆*6根</w:t>
                  </w: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预防耐压实验</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根</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绝缘电阻，直流耐压试验</w:t>
                  </w:r>
                </w:p>
              </w:tc>
            </w:tr>
            <w:tr>
              <w:tc>
                <w:tcPr>
                  <w:tcW w:type="dxa" w:w="19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46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西区低压配电柜*6台</w:t>
                  </w: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保养元器件检查</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观察各元件的状态，是否有过热变色、发了声响、接触不良等现象</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清洁除尘及柜内检查保养</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检查、紧固柜内一、二次电气回路所有螺丝并红油漆打点标记，整柜清洁除尘，擦拭开关、互感器、仪表、指示灯、接线桩等的积尘和污渍</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接地检测</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检查金属框架的接地检测</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定期检查</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每月巡查检查仪表数据准确性及电气元器件，共12次</w:t>
                  </w:r>
                </w:p>
              </w:tc>
            </w:tr>
            <w:tr>
              <w:tc>
                <w:tcPr>
                  <w:tcW w:type="dxa" w:w="19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46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东区10KV高压配电柜*2台</w:t>
                  </w: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预防性耐压实验</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绝缘电阻、交流耐压试验</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维护保养</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手动操作机构可靠性、灵活性检查</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接地检测</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检查金属框架的接地检测</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定期检查</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每月巡查检查仪表数据准确性及电气元器件，共12次</w:t>
                  </w:r>
                </w:p>
              </w:tc>
            </w:tr>
            <w:tr>
              <w:tc>
                <w:tcPr>
                  <w:tcW w:type="dxa" w:w="19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46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东区低压配电柜*8台</w:t>
                  </w: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保养元器件检查</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观察各元件的状态，是否有过热变色、发了声响、接触不良等现象</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清洁除尘及柜内检查保养</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检查、紧固柜内一、二次电气回路所有螺丝并红油漆打点标记，整柜清洁除尘，擦拭开关、互感器、仪表、指示灯、接线桩等的积尘和污渍</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电容柜及滤波柜检查</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检查电容补偿柜手动、自动投切功能，电容器、电抗器、接触器功能性，对电容自动补偿控制器设定参数进行查看，修正</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连锁检查</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检查联络柜、变压器进线柜万能式断路器功能性及相互之间的机械连锁、电气联锁安全可靠性</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接地检测</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检查金属框架的接地检测</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定期检查</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每月巡查检查仪表数据准确性及电气元器件，共12次</w:t>
                  </w:r>
                </w:p>
              </w:tc>
            </w:tr>
            <w:tr>
              <w:tc>
                <w:tcPr>
                  <w:tcW w:type="dxa" w:w="19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46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东区变压器*1台</w:t>
                  </w: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清洁除尘及柜内检查保养</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检查、紧固柜内一、二次电气回路所有螺丝并红油漆打点标记，整柜清洁除尘、接线桩等的积尘和污渍</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元器件检查</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仪器、仪表检查</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预防性耐压实验</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穿心螺杆、铁芯的绝缘电阻，变比试验，交流耐压试验</w:t>
                  </w:r>
                </w:p>
              </w:tc>
            </w:tr>
            <w:tr>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东区高压电力电缆*1根</w:t>
                  </w: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预防耐压实验</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根</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绝缘电阻，直流耐压试验</w:t>
                  </w:r>
                </w:p>
              </w:tc>
            </w:tr>
            <w:tr>
              <w:tc>
                <w:tcPr>
                  <w:tcW w:type="dxa" w:w="19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46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东区直流屏柜*2台</w:t>
                  </w:r>
                </w:p>
              </w:tc>
              <w:tc>
                <w:tcPr>
                  <w:tcW w:type="dxa" w:w="812"/>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直流屏充放电试验</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直流屏充放电试验</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直流屏接地检测</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直流屏接地检测</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定期检查</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每月巡查检查仪表数据准确性及电气元器件，共12次</w:t>
                  </w:r>
                </w:p>
              </w:tc>
            </w:tr>
            <w:tr>
              <w:tc>
                <w:tcPr>
                  <w:tcW w:type="dxa" w:w="19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w:t>
                  </w:r>
                </w:p>
              </w:tc>
              <w:tc>
                <w:tcPr>
                  <w:tcW w:type="dxa" w:w="469"/>
                  <w:vMerge w:val="restart"/>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工器具</w:t>
                  </w: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安全防护用品校检</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件</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绝缘靴、绝缘手套年度2次</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non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安全防护器具校检</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件</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验电笔、接地棒年度1次</w:t>
                  </w:r>
                </w:p>
              </w:tc>
            </w:tr>
            <w:tr>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w:t>
                  </w:r>
                </w:p>
              </w:tc>
              <w:tc>
                <w:tcPr>
                  <w:tcW w:type="dxa" w:w="469"/>
                  <w:tcBorders>
                    <w:top w:val="non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响应维修</w:t>
                  </w: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紧急故障及上门维修</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项</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应急故障处理、日常故障维修、电气元器件（500及以下）免费更换</w:t>
                  </w:r>
                </w:p>
              </w:tc>
            </w:tr>
            <w:tr>
              <w:tc>
                <w:tcPr>
                  <w:tcW w:type="dxa" w:w="3187"/>
                  <w:gridSpan w:val="6"/>
                  <w:tcBorders>
                    <w:top w:val="single" w:color="000000" w:sz="4"/>
                    <w:left w:val="single" w:color="000000" w:sz="4"/>
                    <w:bottom w:val="single" w:color="000000" w:sz="4"/>
                    <w:right w:val="single" w:color="000000" w:sz="4"/>
                  </w:tcBorders>
                  <w:shd w:fill="E7E6E6"/>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发电机维保</w:t>
                  </w:r>
                </w:p>
              </w:tc>
            </w:tr>
            <w:tr>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序号</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名称</w:t>
                  </w: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维保项目</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数量</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单位</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维保内容</w:t>
                  </w:r>
                </w:p>
              </w:tc>
            </w:tr>
            <w:tr>
              <w:tc>
                <w:tcPr>
                  <w:tcW w:type="dxa" w:w="19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46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沃达800KW柴油发电机组*1台</w:t>
                  </w: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机油滤清器</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77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年度一次保养发电机更换</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柴油滤清器</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776"/>
                  <w:vMerge/>
                  <w:tcBorders>
                    <w:top w:val="single" w:color="000000" w:sz="4"/>
                    <w:left w:val="single" w:color="000000" w:sz="4"/>
                    <w:bottom w:val="single" w:color="000000" w:sz="4"/>
                    <w:right w:val="single" w:color="000000" w:sz="4"/>
                  </w:tcBorders>
                </w:tcP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旁通滤清器</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776"/>
                  <w:vMerge/>
                  <w:tcBorders>
                    <w:top w:val="single" w:color="000000" w:sz="4"/>
                    <w:left w:val="single" w:color="000000" w:sz="4"/>
                    <w:bottom w:val="single" w:color="000000" w:sz="4"/>
                    <w:right w:val="single" w:color="000000" w:sz="4"/>
                  </w:tcBorders>
                </w:tcP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空滤</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776"/>
                  <w:vMerge/>
                  <w:tcBorders>
                    <w:top w:val="single" w:color="000000" w:sz="4"/>
                    <w:left w:val="single" w:color="000000" w:sz="4"/>
                    <w:bottom w:val="single" w:color="000000" w:sz="4"/>
                    <w:right w:val="single" w:color="000000" w:sz="4"/>
                  </w:tcBorders>
                </w:tcP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机油</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桶</w:t>
                  </w:r>
                </w:p>
              </w:tc>
              <w:tc>
                <w:tcPr>
                  <w:tcW w:type="dxa" w:w="776"/>
                  <w:vMerge/>
                  <w:tcBorders>
                    <w:top w:val="single" w:color="000000" w:sz="4"/>
                    <w:left w:val="single" w:color="000000" w:sz="4"/>
                    <w:bottom w:val="single" w:color="000000" w:sz="4"/>
                    <w:right w:val="single" w:color="000000" w:sz="4"/>
                  </w:tcBorders>
                </w:tcP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防冻液</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桶</w:t>
                  </w:r>
                </w:p>
              </w:tc>
              <w:tc>
                <w:tcPr>
                  <w:tcW w:type="dxa" w:w="776"/>
                  <w:vMerge/>
                  <w:tcBorders>
                    <w:top w:val="single" w:color="000000" w:sz="4"/>
                    <w:left w:val="single" w:color="000000" w:sz="4"/>
                    <w:bottom w:val="single" w:color="000000" w:sz="4"/>
                    <w:right w:val="single" w:color="000000" w:sz="4"/>
                  </w:tcBorders>
                </w:tcP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电瓶</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组</w:t>
                  </w:r>
                </w:p>
              </w:tc>
              <w:tc>
                <w:tcPr>
                  <w:tcW w:type="dxa" w:w="77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检测、加液及损坏更换</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月度检查保养</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次</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每月清洁检查并启动保养</w:t>
                  </w:r>
                </w:p>
              </w:tc>
            </w:tr>
            <w:tr>
              <w:tc>
                <w:tcPr>
                  <w:tcW w:type="dxa" w:w="3187"/>
                  <w:gridSpan w:val="6"/>
                  <w:tcBorders>
                    <w:top w:val="single" w:color="000000" w:sz="4"/>
                    <w:left w:val="single" w:color="000000" w:sz="4"/>
                    <w:bottom w:val="single" w:color="000000" w:sz="4"/>
                    <w:right w:val="single" w:color="000000" w:sz="4"/>
                  </w:tcBorders>
                  <w:shd w:fill="E7E6E6"/>
                  <w:tcMar>
                    <w:top w:type="dxa" w:w="15"/>
                    <w:left w:type="dxa" w:w="15"/>
                    <w:right w:type="dxa" w:w="15"/>
                  </w:tcMar>
                  <w:vAlign w:val="center"/>
                </w:tcPr>
                <w:p>
                  <w:pPr>
                    <w:pStyle w:val="null3"/>
                    <w:jc w:val="center"/>
                  </w:pPr>
                  <w:r>
                    <w:rPr>
                      <w:rFonts w:ascii="仿宋_GB2312" w:hAnsi="仿宋_GB2312" w:cs="仿宋_GB2312" w:eastAsia="仿宋_GB2312"/>
                      <w:sz w:val="22"/>
                      <w:color w:val="000000"/>
                    </w:rPr>
                    <w:t>馆区及办公区直饮水维保</w:t>
                  </w:r>
                </w:p>
              </w:tc>
            </w:tr>
            <w:tr>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序号</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名称</w:t>
                  </w: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维保项目</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数量</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单位</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维保内容</w:t>
                  </w:r>
                </w:p>
              </w:tc>
            </w:tr>
            <w:tr>
              <w:tc>
                <w:tcPr>
                  <w:tcW w:type="dxa" w:w="192"/>
                  <w:vMerge w:val="restart"/>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469"/>
                  <w:vMerge w:val="restart"/>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艾力方泉牌直饮水机*6台</w:t>
                  </w: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1-5μmPPF滤芯</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48</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776"/>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季度更换1次</w:t>
                  </w:r>
                </w:p>
              </w:tc>
            </w:tr>
            <w:tr>
              <w:tc>
                <w:tcPr>
                  <w:tcW w:type="dxa" w:w="192"/>
                  <w:vMerge/>
                  <w:tcBorders>
                    <w:top w:val="single" w:color="000000" w:sz="4"/>
                    <w:left w:val="single" w:color="000000" w:sz="4"/>
                    <w:bottom w:val="none" w:color="000000" w:sz="4"/>
                    <w:right w:val="single" w:color="000000" w:sz="4"/>
                  </w:tcBorders>
                </w:tcPr>
                <w:p/>
              </w:tc>
              <w:tc>
                <w:tcPr>
                  <w:tcW w:type="dxa" w:w="469"/>
                  <w:vMerge/>
                  <w:tcBorders>
                    <w:top w:val="single" w:color="000000" w:sz="4"/>
                    <w:left w:val="single" w:color="000000" w:sz="4"/>
                    <w:bottom w:val="non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钻性活性炭滤芯</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776"/>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季度更换1次</w:t>
                  </w:r>
                </w:p>
              </w:tc>
            </w:tr>
            <w:tr>
              <w:tc>
                <w:tcPr>
                  <w:tcW w:type="dxa" w:w="192"/>
                  <w:vMerge/>
                  <w:tcBorders>
                    <w:top w:val="single" w:color="000000" w:sz="4"/>
                    <w:left w:val="single" w:color="000000" w:sz="4"/>
                    <w:bottom w:val="none" w:color="000000" w:sz="4"/>
                    <w:right w:val="single" w:color="000000" w:sz="4"/>
                  </w:tcBorders>
                </w:tcPr>
                <w:p/>
              </w:tc>
              <w:tc>
                <w:tcPr>
                  <w:tcW w:type="dxa" w:w="469"/>
                  <w:vMerge/>
                  <w:tcBorders>
                    <w:top w:val="single" w:color="000000" w:sz="4"/>
                    <w:left w:val="single" w:color="000000" w:sz="4"/>
                    <w:bottom w:val="non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后置T33活性炭</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776"/>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季度更换1次</w:t>
                  </w:r>
                </w:p>
              </w:tc>
            </w:tr>
            <w:tr>
              <w:tc>
                <w:tcPr>
                  <w:tcW w:type="dxa" w:w="192"/>
                  <w:vMerge/>
                  <w:tcBorders>
                    <w:top w:val="single" w:color="000000" w:sz="4"/>
                    <w:left w:val="single" w:color="000000" w:sz="4"/>
                    <w:bottom w:val="none" w:color="000000" w:sz="4"/>
                    <w:right w:val="single" w:color="000000" w:sz="4"/>
                  </w:tcBorders>
                </w:tcPr>
                <w:p/>
              </w:tc>
              <w:tc>
                <w:tcPr>
                  <w:tcW w:type="dxa" w:w="469"/>
                  <w:vMerge/>
                  <w:tcBorders>
                    <w:top w:val="single" w:color="000000" w:sz="4"/>
                    <w:left w:val="single" w:color="000000" w:sz="4"/>
                    <w:bottom w:val="non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反渗透RO膜组件</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776"/>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半年更换1次</w:t>
                  </w:r>
                </w:p>
              </w:tc>
            </w:tr>
            <w:tr>
              <w:tc>
                <w:tcPr>
                  <w:tcW w:type="dxa" w:w="192"/>
                  <w:vMerge/>
                  <w:tcBorders>
                    <w:top w:val="single" w:color="000000" w:sz="4"/>
                    <w:left w:val="single" w:color="000000" w:sz="4"/>
                    <w:bottom w:val="none" w:color="000000" w:sz="4"/>
                    <w:right w:val="single" w:color="000000" w:sz="4"/>
                  </w:tcBorders>
                </w:tcPr>
                <w:p/>
              </w:tc>
              <w:tc>
                <w:tcPr>
                  <w:tcW w:type="dxa" w:w="469"/>
                  <w:vMerge/>
                  <w:tcBorders>
                    <w:top w:val="single" w:color="000000" w:sz="4"/>
                    <w:left w:val="single" w:color="000000" w:sz="4"/>
                    <w:bottom w:val="non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维保、维修</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每季度检查并维修</w:t>
                  </w:r>
                </w:p>
              </w:tc>
            </w:tr>
            <w:tr>
              <w:tc>
                <w:tcPr>
                  <w:tcW w:type="dxa" w:w="192"/>
                  <w:vMerge/>
                  <w:tcBorders>
                    <w:top w:val="single" w:color="000000" w:sz="4"/>
                    <w:left w:val="single" w:color="000000" w:sz="4"/>
                    <w:bottom w:val="none" w:color="000000" w:sz="4"/>
                    <w:right w:val="single" w:color="000000" w:sz="4"/>
                  </w:tcBorders>
                </w:tcPr>
                <w:p/>
              </w:tc>
              <w:tc>
                <w:tcPr>
                  <w:tcW w:type="dxa" w:w="469"/>
                  <w:vMerge/>
                  <w:tcBorders>
                    <w:top w:val="single" w:color="000000" w:sz="4"/>
                    <w:left w:val="single" w:color="000000" w:sz="4"/>
                    <w:bottom w:val="non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水质检测</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每季度TDS水质测试</w:t>
                  </w:r>
                </w:p>
              </w:tc>
            </w:tr>
            <w:tr>
              <w:tc>
                <w:tcPr>
                  <w:tcW w:type="dxa" w:w="19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46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欧维士纯净水直饮机*4台</w:t>
                  </w: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PP棉</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32</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776"/>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季度更换1次</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颗粒活性炭</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32</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776"/>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季度更换1次</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后置活性炭</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776"/>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半年更换1次</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反渗透膜</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32</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776"/>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半年更换1次</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维保、维修</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每季度检查并维修</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翻新</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室外箱体喷漆翻新贴标识</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水质检测</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每季度TDS水质测试</w:t>
                  </w:r>
                </w:p>
              </w:tc>
            </w:tr>
            <w:tr>
              <w:tc>
                <w:tcPr>
                  <w:tcW w:type="dxa" w:w="19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46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希力牌直饮水机*2台</w:t>
                  </w: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聚丙烯熔喷滤芯</w:t>
                  </w:r>
                </w:p>
              </w:tc>
              <w:tc>
                <w:tcPr>
                  <w:tcW w:type="dxa" w:w="46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776"/>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季度更换1次</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前置活性炭滤芯</w:t>
                  </w:r>
                </w:p>
              </w:tc>
              <w:tc>
                <w:tcPr>
                  <w:tcW w:type="dxa" w:w="46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776"/>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季度更换1次</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聚丙烯熔喷滤芯</w:t>
                  </w:r>
                </w:p>
              </w:tc>
              <w:tc>
                <w:tcPr>
                  <w:tcW w:type="dxa" w:w="46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776"/>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季度更换1次</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反渗透RO膜组件</w:t>
                  </w:r>
                </w:p>
              </w:tc>
              <w:tc>
                <w:tcPr>
                  <w:tcW w:type="dxa" w:w="46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776"/>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半年更换1次</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后置活性炭</w:t>
                  </w:r>
                </w:p>
              </w:tc>
              <w:tc>
                <w:tcPr>
                  <w:tcW w:type="dxa" w:w="46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776"/>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季度更换1次</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维保、维修</w:t>
                  </w:r>
                </w:p>
              </w:tc>
              <w:tc>
                <w:tcPr>
                  <w:tcW w:type="dxa" w:w="46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每季度检查并维修</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水质检测</w:t>
                  </w:r>
                </w:p>
              </w:tc>
              <w:tc>
                <w:tcPr>
                  <w:tcW w:type="dxa" w:w="469"/>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每季度TDS水质测试</w:t>
                  </w:r>
                </w:p>
              </w:tc>
            </w:tr>
            <w:tr>
              <w:tc>
                <w:tcPr>
                  <w:tcW w:type="dxa" w:w="3187"/>
                  <w:gridSpan w:val="6"/>
                  <w:tcBorders>
                    <w:top w:val="single" w:color="000000" w:sz="4"/>
                    <w:left w:val="single" w:color="000000" w:sz="4"/>
                    <w:bottom w:val="single" w:color="000000" w:sz="4"/>
                    <w:right w:val="single" w:color="000000" w:sz="4"/>
                  </w:tcBorders>
                  <w:shd w:fill="E7E6E6"/>
                  <w:tcMar>
                    <w:top w:type="dxa" w:w="15"/>
                    <w:left w:type="dxa" w:w="15"/>
                    <w:right w:type="dxa" w:w="15"/>
                  </w:tcMar>
                  <w:vAlign w:val="center"/>
                </w:tcPr>
                <w:p>
                  <w:pPr>
                    <w:pStyle w:val="null3"/>
                    <w:jc w:val="center"/>
                  </w:pPr>
                  <w:r>
                    <w:rPr>
                      <w:rFonts w:ascii="仿宋_GB2312" w:hAnsi="仿宋_GB2312" w:cs="仿宋_GB2312" w:eastAsia="仿宋_GB2312"/>
                      <w:sz w:val="22"/>
                      <w:color w:val="000000"/>
                    </w:rPr>
                    <w:t>老馆分体空调维修</w:t>
                  </w:r>
                </w:p>
              </w:tc>
            </w:tr>
            <w:tr>
              <w:tc>
                <w:tcPr>
                  <w:tcW w:type="dxa" w:w="19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序号</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名称</w:t>
                  </w: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维保项目</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数量</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单位</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维保内容</w:t>
                  </w:r>
                </w:p>
              </w:tc>
            </w:tr>
            <w:tr>
              <w:tc>
                <w:tcPr>
                  <w:tcW w:type="dxa" w:w="19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46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分体空调*65台</w:t>
                  </w: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常规保养</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65</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滤网清洗、翅片清洁、运行检查全年两次</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制冷剂</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罐</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易耗品加注</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电容器</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按10%损坏率计算</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四通阀</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按10%损坏率计算</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主板</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按10%损坏率计算</w:t>
                  </w:r>
                </w:p>
              </w:tc>
            </w:tr>
            <w:tr>
              <w:tc>
                <w:tcPr>
                  <w:tcW w:type="dxa" w:w="192"/>
                  <w:vMerge/>
                  <w:tcBorders>
                    <w:top w:val="single" w:color="000000" w:sz="4"/>
                    <w:left w:val="single" w:color="000000" w:sz="4"/>
                    <w:bottom w:val="single" w:color="000000" w:sz="4"/>
                    <w:right w:val="single" w:color="000000" w:sz="4"/>
                  </w:tcBorders>
                </w:tcPr>
                <w:p/>
              </w:tc>
              <w:tc>
                <w:tcPr>
                  <w:tcW w:type="dxa" w:w="469"/>
                  <w:vMerge/>
                  <w:tcBorders>
                    <w:top w:val="single" w:color="000000" w:sz="4"/>
                    <w:left w:val="single" w:color="000000" w:sz="4"/>
                    <w:bottom w:val="single" w:color="000000" w:sz="4"/>
                    <w:right w:val="single" w:color="000000" w:sz="4"/>
                  </w:tcBorders>
                </w:tcPr>
                <w:p/>
              </w:tc>
              <w:tc>
                <w:tcPr>
                  <w:tcW w:type="dxa" w:w="8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响应维修</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21</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次</w:t>
                  </w:r>
                </w:p>
              </w:tc>
              <w:tc>
                <w:tcPr>
                  <w:tcW w:type="dxa" w:w="7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应急故障处理维修24小时响应及上门维修</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1、在线客服：通过陕西省政府采购网-在线客服进行咨询 技术服务电话：029-96702 CA及签章服务：通过陕西省政府采购网-服务专区进行查询。 2、请将采购代理服务费汇至下列指定账户：户名：陕西海堂项目管理咨询有限公司 开户银行：中国银行股份有限公司西安雁塔路支行 账号：103675480567。 3、供应商需要在线提交所有通过电子化交易平台实施的政府采购项目的投标文件，同时，线下提交投标文件正本壹份、副本贰套、电子版贰套（U盘标明供应商名称）。 线下提交投标文件地点：于开标截止时间前。线下提交投标文件地点：西安市雁塔区电子二路青松公寓二楼西第一会议室。若电子投标文件与纸质投标文件不一致的，以电子投标文件为准；若正本和副本不符，以正本为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一年（2026年度），具体起止时间以合同约定为准。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西安碑林博物馆馆区（含老馆区及办公区）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符合国家验收规范的合格标准。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服务满半年后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服务期满且验收合格后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成交谈判供应商未全面履行合同义务或者发生违约，采购单位会同谈判组织机构有权终止合同，依法向成交谈判供应商进行经济索赔，并报请政府采购监督管理机关进行相应的行政处罚。采购单位违约的，应当赔偿给成交谈判供应商造成的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政府采购异常低价审查 (一)采购人应当在采购文件中明确，在政府采购评审中出现下列情形之一的，评审委员会应当启动异常低价投标(响应)审查程序: 1、投标(响应)报价低于全部通过符合性审查投标人投标(响应)报价平均值50%的，即投标(响应)报价&lt;全部通过符合性审查投标人投标(响应)报价平均值50%； 2、投标(响应)报价低于通过符合性审查的次低报价投标人投标(响应)报价50%的，即投标(响应)报价&lt;通过符合性审查的次低报价投标人投标(响应)报价50%； 3、投标(响应)报价低于采购项目最高限价45%的，即投标(响应)报价&lt;采购项目最高限价x45%； 4、评审委员会基于专业判断，认为投标人报价过低，有可能影响产品质量或者不能诚信履约的其他情形。采购人可以结合具体项目实际情况，提高上述第1项至第3项中启动异常低价投标(响应)审查的数值标准，但是最高不得超过65%。 相关法律法规对投标人报价有规定的，从其规定。 (二)评审委员会启动异常低价投标(响应)审查后，属于前述第1项至第4项情形的，应当要求相关投标人在评审现场合理的时间内对投标(响应)价格作出解释，提供项目具体成本测算等与报价合理性相关的书面说明及必要的证明材料，包括但不限于原材料成本、人工成本、制造费用等，给予相关投标人的合理时间一般不少于30分钟。其中，属于第3项情形，投标人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投标人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异常低价投标(响应)审查的启动原因、审查意见和审查结果应当在评审报告中记录，并随投标人提供的相关书面说明及证明材料，以及评审委员会有关互联网浏览、查询历史一并归档。 (三)各级财政部门应当加强对评审专家的指导和监管，进一步压实评审专家的责任。财政部门在投诉处理、监督检查中发现评审委员会未按规定对异常低价开展审查的， 依法予以纠正并追究评审专家的法律责任。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 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法定代表人授权书及身份证,被授权人须提供近半年内任意一个月的社保缴纳证明（法定代表人直接投标须提交法定代表人证明书及身份证）；</w:t>
            </w:r>
          </w:p>
        </w:tc>
        <w:tc>
          <w:tcPr>
            <w:tcW w:type="dxa" w:w="1661"/>
          </w:tcPr>
          <w:p>
            <w:pPr>
              <w:pStyle w:val="null3"/>
            </w:pPr>
            <w:r>
              <w:rPr>
                <w:rFonts w:ascii="仿宋_GB2312" w:hAnsi="仿宋_GB2312" w:cs="仿宋_GB2312" w:eastAsia="仿宋_GB2312"/>
              </w:rPr>
              <w:t>供应商应提交的相关资格证明材料 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完整有效的财务报告(包括审计报告、资产负债表、利润表、现金流量表及其附注、会计师事务所营业执照、执业证书、注册会计师证书，成立时间至提交响应文件截止时间不足一年的可提供成立后任意时段的资产负债表），或其磋商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 法定代表人授权书.docx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2025年10月至今任意一个月的社会保障资金缴存单据或社保机构开具的社会保险参保缴费情况证明；成立时间至提交响应文件截止时间不足1个月的供应商，无法提供上述证明材料的，须提供《关于无法提供社保缴纳证明的情况说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 法定代表人授权书.docx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10月至今任意一个月的纳税证明或完税证明，纳税证明或完税证明上应有代收机构或税务机关的公章；成立时间至提交响应文件截止时间不足3个月的供应商，可提供成立之日起至投标截止之日的税收缴纳凭证（或银行缴费凭证），若无应纳税款，须提供税务机关盖章的零申报说明或无欠税证明；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 法定代表人授权书.docx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资质要求1</w:t>
            </w:r>
          </w:p>
        </w:tc>
        <w:tc>
          <w:tcPr>
            <w:tcW w:type="dxa" w:w="3322"/>
          </w:tcPr>
          <w:p>
            <w:pPr>
              <w:pStyle w:val="null3"/>
            </w:pPr>
            <w:r>
              <w:rPr>
                <w:rFonts w:ascii="仿宋_GB2312" w:hAnsi="仿宋_GB2312" w:cs="仿宋_GB2312" w:eastAsia="仿宋_GB2312"/>
              </w:rPr>
              <w:t>供应商应具备《中华人民共和国特种设备生产许可证》【电梯制造（含安装、修理、改造）或（电梯安装（含修理）】。</w:t>
            </w:r>
          </w:p>
        </w:tc>
        <w:tc>
          <w:tcPr>
            <w:tcW w:type="dxa" w:w="1661"/>
          </w:tcPr>
          <w:p>
            <w:pPr>
              <w:pStyle w:val="null3"/>
            </w:pPr>
            <w:r>
              <w:rPr>
                <w:rFonts w:ascii="仿宋_GB2312" w:hAnsi="仿宋_GB2312" w:cs="仿宋_GB2312" w:eastAsia="仿宋_GB2312"/>
              </w:rPr>
              <w:t>供应商应提交的相关资格证明材料 法定代表人授权书.docx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资质要求2</w:t>
            </w:r>
          </w:p>
        </w:tc>
        <w:tc>
          <w:tcPr>
            <w:tcW w:type="dxa" w:w="3322"/>
          </w:tcPr>
          <w:p>
            <w:pPr>
              <w:pStyle w:val="null3"/>
            </w:pPr>
            <w:r>
              <w:rPr>
                <w:rFonts w:ascii="仿宋_GB2312" w:hAnsi="仿宋_GB2312" w:cs="仿宋_GB2312" w:eastAsia="仿宋_GB2312"/>
              </w:rPr>
              <w:t>供应商应具备有效的《承装（修、试）电力设施许可证》三级（含三级）及以上资质或机电安装施工总承包资质三级及以资质。</w:t>
            </w:r>
          </w:p>
        </w:tc>
        <w:tc>
          <w:tcPr>
            <w:tcW w:type="dxa" w:w="1661"/>
          </w:tcPr>
          <w:p>
            <w:pPr>
              <w:pStyle w:val="null3"/>
            </w:pPr>
            <w:r>
              <w:rPr>
                <w:rFonts w:ascii="仿宋_GB2312" w:hAnsi="仿宋_GB2312" w:cs="仿宋_GB2312" w:eastAsia="仿宋_GB2312"/>
              </w:rPr>
              <w:t>供应商应提交的相关资格证明材料 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重大违法记录</w:t>
            </w:r>
          </w:p>
        </w:tc>
        <w:tc>
          <w:tcPr>
            <w:tcW w:type="dxa" w:w="3322"/>
          </w:tcPr>
          <w:p>
            <w:pPr>
              <w:pStyle w:val="null3"/>
            </w:pPr>
            <w:r>
              <w:rPr>
                <w:rFonts w:ascii="仿宋_GB2312" w:hAnsi="仿宋_GB2312" w:cs="仿宋_GB2312" w:eastAsia="仿宋_GB2312"/>
              </w:rPr>
              <w:t>参加政府采购活动前3年内经营活动中没有重大违法记录声明；</w:t>
            </w:r>
          </w:p>
        </w:tc>
        <w:tc>
          <w:tcPr>
            <w:tcW w:type="dxa" w:w="1661"/>
          </w:tcPr>
          <w:p>
            <w:pPr>
              <w:pStyle w:val="null3"/>
            </w:pPr>
            <w:r>
              <w:rPr>
                <w:rFonts w:ascii="仿宋_GB2312" w:hAnsi="仿宋_GB2312" w:cs="仿宋_GB2312" w:eastAsia="仿宋_GB2312"/>
              </w:rPr>
              <w:t>供应商应提交的相关资格证明材料 法定代表人授权书.docx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通过“信用中国”网站（www.creditchina.gov.cn/ ）和“中国政府采购网”（http://www.ccgp.gov.cn/）查询投标主体未被列入失信被执行人、重大税收失信主体、政府采购严重违法失信行为记录名单；</w:t>
            </w:r>
          </w:p>
        </w:tc>
        <w:tc>
          <w:tcPr>
            <w:tcW w:type="dxa" w:w="1661"/>
          </w:tcPr>
          <w:p>
            <w:pPr>
              <w:pStyle w:val="null3"/>
            </w:pPr>
            <w:r>
              <w:rPr>
                <w:rFonts w:ascii="仿宋_GB2312" w:hAnsi="仿宋_GB2312" w:cs="仿宋_GB2312" w:eastAsia="仿宋_GB2312"/>
              </w:rPr>
              <w:t>供应商应提交的相关资格证明材料 法定代表人授权书.docx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提供具有履行服务合同所必需的设备和专业技术能力的承诺函；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 法定代表人授权书.docx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单位负责人为同一人或者存在控股、管理关系的不同供应商，不得同时参加本项目采购活动；</w:t>
            </w:r>
          </w:p>
        </w:tc>
        <w:tc>
          <w:tcPr>
            <w:tcW w:type="dxa" w:w="1661"/>
          </w:tcPr>
          <w:p>
            <w:pPr>
              <w:pStyle w:val="null3"/>
            </w:pPr>
            <w:r>
              <w:rPr>
                <w:rFonts w:ascii="仿宋_GB2312" w:hAnsi="仿宋_GB2312" w:cs="仿宋_GB2312" w:eastAsia="仿宋_GB2312"/>
              </w:rPr>
              <w:t>供应商应提交的相关资格证明材料 法定代表人授权书.docx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本项目接受联合体投标</w:t>
            </w:r>
          </w:p>
        </w:tc>
        <w:tc>
          <w:tcPr>
            <w:tcW w:type="dxa" w:w="3322"/>
          </w:tcPr>
          <w:p>
            <w:pPr>
              <w:pStyle w:val="null3"/>
            </w:pPr>
            <w:r>
              <w:rPr>
                <w:rFonts w:ascii="仿宋_GB2312" w:hAnsi="仿宋_GB2312" w:cs="仿宋_GB2312" w:eastAsia="仿宋_GB2312"/>
              </w:rPr>
              <w:t>①本项目接受联合体投标，组成联合体成员家数不得超过3个。若联合体投标时须明确牵头单位，联合体牵头单位代表联合体各方办理本项目招投标活动过程中的一切事务，联合体应满足资格审查条件中规定的相应资质。牵头单位和其法定代表人或其委托代理人的印章或签字代表联合体各成员单位相应的印章或签字。联合体各方不得再以自己的名义单独或参加其他联合体在同一标段投标，否则其投标和与此相关的联合体投标将被拒绝。联合体各方须无不良行为记录。②若联合体投标，以上要求包括联合体各方。</w:t>
            </w:r>
          </w:p>
        </w:tc>
        <w:tc>
          <w:tcPr>
            <w:tcW w:type="dxa" w:w="1661"/>
          </w:tcPr>
          <w:p>
            <w:pPr>
              <w:pStyle w:val="null3"/>
            </w:pPr>
            <w:r>
              <w:rPr>
                <w:rFonts w:ascii="仿宋_GB2312" w:hAnsi="仿宋_GB2312" w:cs="仿宋_GB2312" w:eastAsia="仿宋_GB2312"/>
              </w:rPr>
              <w:t>联合体投标协议书.docx 供应商应提交的相关资格证明材料 法定代表人授权书.docx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本项目专门面向中小企业采购（须提供中小企业声明函）。</w:t>
            </w:r>
          </w:p>
        </w:tc>
        <w:tc>
          <w:tcPr>
            <w:tcW w:type="dxa" w:w="1661"/>
          </w:tcPr>
          <w:p>
            <w:pPr>
              <w:pStyle w:val="null3"/>
            </w:pPr>
            <w:r>
              <w:rPr>
                <w:rFonts w:ascii="仿宋_GB2312" w:hAnsi="仿宋_GB2312" w:cs="仿宋_GB2312" w:eastAsia="仿宋_GB2312"/>
              </w:rPr>
              <w:t>分项报价表.docx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供应商名称与营业执照、资质证书一致</w:t>
            </w:r>
          </w:p>
        </w:tc>
        <w:tc>
          <w:tcPr>
            <w:tcW w:type="dxa" w:w="3322"/>
          </w:tcPr>
          <w:p>
            <w:pPr>
              <w:pStyle w:val="null3"/>
            </w:pPr>
            <w:r>
              <w:rPr>
                <w:rFonts w:ascii="仿宋_GB2312" w:hAnsi="仿宋_GB2312" w:cs="仿宋_GB2312" w:eastAsia="仿宋_GB2312"/>
              </w:rPr>
              <w:t>在磋商过程中，磋商小组认为供应商名称与营业执照、资质证书不一致，磋商小组应当将其响应文件作为无效处理。</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响应文件的语言、计量单位、报价货币是否满足磋商文件要求</w:t>
            </w:r>
          </w:p>
        </w:tc>
        <w:tc>
          <w:tcPr>
            <w:tcW w:type="dxa" w:w="3322"/>
          </w:tcPr>
          <w:p>
            <w:pPr>
              <w:pStyle w:val="null3"/>
            </w:pPr>
            <w:r>
              <w:rPr>
                <w:rFonts w:ascii="仿宋_GB2312" w:hAnsi="仿宋_GB2312" w:cs="仿宋_GB2312" w:eastAsia="仿宋_GB2312"/>
              </w:rPr>
              <w:t>在磋商过程中，磋商小组认为响应文件的语言、计量单位、报价货币不满足磋商文件要求，磋商小组应当将其响应文件作为无效处理。</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磋商有效期是否达到磋商文件要求</w:t>
            </w:r>
          </w:p>
        </w:tc>
        <w:tc>
          <w:tcPr>
            <w:tcW w:type="dxa" w:w="3322"/>
          </w:tcPr>
          <w:p>
            <w:pPr>
              <w:pStyle w:val="null3"/>
            </w:pPr>
            <w:r>
              <w:rPr>
                <w:rFonts w:ascii="仿宋_GB2312" w:hAnsi="仿宋_GB2312" w:cs="仿宋_GB2312" w:eastAsia="仿宋_GB2312"/>
              </w:rPr>
              <w:t>磋商有效期达不到磋商文件要求，磋商小组应当将其响应文件作为无效处理。</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是否符合法律、法规和磋商文件中规定的其他实质性要求</w:t>
            </w:r>
          </w:p>
        </w:tc>
        <w:tc>
          <w:tcPr>
            <w:tcW w:type="dxa" w:w="3322"/>
          </w:tcPr>
          <w:p>
            <w:pPr>
              <w:pStyle w:val="null3"/>
            </w:pPr>
            <w:r>
              <w:rPr>
                <w:rFonts w:ascii="仿宋_GB2312" w:hAnsi="仿宋_GB2312" w:cs="仿宋_GB2312" w:eastAsia="仿宋_GB2312"/>
              </w:rPr>
              <w:t>在磋商过程中，磋商小组认为响应文件不符合法律、法规和磋商文件中规定的其他实质性要求，磋商小组应当将其响应文件作为无效处理。</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电梯维保方案</w:t>
            </w:r>
          </w:p>
        </w:tc>
        <w:tc>
          <w:tcPr>
            <w:tcW w:type="dxa" w:w="2492"/>
          </w:tcPr>
          <w:p>
            <w:pPr>
              <w:pStyle w:val="null3"/>
            </w:pPr>
            <w:r>
              <w:rPr>
                <w:rFonts w:ascii="仿宋_GB2312" w:hAnsi="仿宋_GB2312" w:cs="仿宋_GB2312" w:eastAsia="仿宋_GB2312"/>
              </w:rPr>
              <w:t>供应商需针对本项目提供完整的电梯维保方案。内容包含：①总体维保方案；②电梯维保控制要点；③维保时间安排及计划；④电梯安全试验和年审方案；⑤电梯维保质量保障措施；⑥备件清单；评审标准：①完善性：方案必须全面，对评审内容中的各项要求有详细阐述；②可实施性：切合本项目实际情况，提出步骤清晰、合理的方案；③针对性：方案能够紧扣项目实际情况，内容科学合理。上述6项评审内容全部满足评审标准得6分，每有一个评审内容缺项扣1分，每项评审内容如存在缺陷，每个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电力设施维保方案</w:t>
            </w:r>
          </w:p>
        </w:tc>
        <w:tc>
          <w:tcPr>
            <w:tcW w:type="dxa" w:w="2492"/>
          </w:tcPr>
          <w:p>
            <w:pPr>
              <w:pStyle w:val="null3"/>
            </w:pPr>
            <w:r>
              <w:rPr>
                <w:rFonts w:ascii="仿宋_GB2312" w:hAnsi="仿宋_GB2312" w:cs="仿宋_GB2312" w:eastAsia="仿宋_GB2312"/>
              </w:rPr>
              <w:t>供应商提供针对本项目电力设施维保服务方案，服务方案全面、详细，包括但不限于：①详细的维保方案；②维保工作计划；③日常巡检维护方案及故障响应；④备件清单。评审标准：①完善性：方案必须全面，对评审内容中的各项要求有详细阐述；②可实施性：切合本项目实际情况，提出步骤清晰、合理的方案；③针对性：方案能够紧扣项目实际情况，内容科学合理。上述4项评审内容全部满足评审标准得14分，每有一个评审内容缺项扣3.5分，每项评审内容如存在缺陷，每个缺陷扣2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空调系统维保方案</w:t>
            </w:r>
          </w:p>
        </w:tc>
        <w:tc>
          <w:tcPr>
            <w:tcW w:type="dxa" w:w="2492"/>
          </w:tcPr>
          <w:p>
            <w:pPr>
              <w:pStyle w:val="null3"/>
            </w:pPr>
            <w:r>
              <w:rPr>
                <w:rFonts w:ascii="仿宋_GB2312" w:hAnsi="仿宋_GB2312" w:cs="仿宋_GB2312" w:eastAsia="仿宋_GB2312"/>
              </w:rPr>
              <w:t>供应商提供针对本项目空调系统维保服务方案，方案包括：①详细的维保方案；②维保工作计划及故障响应；③日常巡检维护方案等内容；④备件清单。评审标准：①完善性：方案必须全面，对评审内容中的各项要求有详细阐述；②可实施性：切合本项目实际情况，提出步骤清晰、合理的方案；③针对性：方案能够紧扣项目实际情况，内容科学合理。上述4项评审内容全部满足评审标准得22分，每有一个评审内容缺项扣5.5分，每项评审内容如存在缺陷，每个缺陷扣2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直饮水系统维保方案</w:t>
            </w:r>
          </w:p>
        </w:tc>
        <w:tc>
          <w:tcPr>
            <w:tcW w:type="dxa" w:w="2492"/>
          </w:tcPr>
          <w:p>
            <w:pPr>
              <w:pStyle w:val="null3"/>
            </w:pPr>
            <w:r>
              <w:rPr>
                <w:rFonts w:ascii="仿宋_GB2312" w:hAnsi="仿宋_GB2312" w:cs="仿宋_GB2312" w:eastAsia="仿宋_GB2312"/>
              </w:rPr>
              <w:t>供应商提供针对本项目直饮水系统维保服务方案，方案包括：①详细的维保方案；②维保工作计划及故障响应；③日常巡检维护方案等内容；④备件清单。评审标准：①完善性：方案必须全面，对评审内容中的各项要求有详细阐述；②可实施性：切合本项目实际情况，提出步骤清晰、合理的方案；③针对性：方案能够紧扣项目实际情况，内容科学合理。上述4项评审内容全部满足评审标准得4分，每有一个评审内容缺项扣1分，每项评审内容如存在缺陷，每个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应急响应方案</w:t>
            </w:r>
          </w:p>
        </w:tc>
        <w:tc>
          <w:tcPr>
            <w:tcW w:type="dxa" w:w="2492"/>
          </w:tcPr>
          <w:p>
            <w:pPr>
              <w:pStyle w:val="null3"/>
            </w:pPr>
            <w:r>
              <w:rPr>
                <w:rFonts w:ascii="仿宋_GB2312" w:hAnsi="仿宋_GB2312" w:cs="仿宋_GB2312" w:eastAsia="仿宋_GB2312"/>
              </w:rPr>
              <w:t>供应商针对本项目可能发生突发情况的应急预案，内容包括但不限于：①具备详细的应急处置方案；②完善的应急处理措施，处置方案及防护措施全部内容均能对项目开展提供保障作用；③应急响应流程。 评审标准：①完善性：方案必须全面，对评审内容中的各项要求有详细阐述；②可实施性：切合本项目实际情况，提出步骤清晰、合理的方案；③针对性：方案能够紧扣项目实际情况，内容科学合理。上述3项评审内容全部满足评审标准得9分，每有一个评审内容缺项扣3分，每项评审内容如存在缺陷，每个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拟投入人员 配备</w:t>
            </w:r>
          </w:p>
        </w:tc>
        <w:tc>
          <w:tcPr>
            <w:tcW w:type="dxa" w:w="2492"/>
          </w:tcPr>
          <w:p>
            <w:pPr>
              <w:pStyle w:val="null3"/>
            </w:pPr>
            <w:r>
              <w:rPr>
                <w:rFonts w:ascii="仿宋_GB2312" w:hAnsi="仿宋_GB2312" w:cs="仿宋_GB2312" w:eastAsia="仿宋_GB2312"/>
              </w:rPr>
              <w:t>1、团队负责人：拟派项目负责人具备相关经验（提供类似业绩）,得2分，其余不得分； 2.主要维保人员：①详细人员配置名单；②人员分工及岗位设置；③服务人员的专业维修能力（提供相应工种人员的在有效期内的特种作业操作证、电工证、电梯维修证、制冷与空调作业证等证明材料）； 评审依据上述3项评审内容全部满足评审标准得8分，每有一个评审内容缺项扣3分，每项评审内容如存在缺陷，每个缺陷扣1分，扣完为止。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文物保护措施</w:t>
            </w:r>
          </w:p>
        </w:tc>
        <w:tc>
          <w:tcPr>
            <w:tcW w:type="dxa" w:w="2492"/>
          </w:tcPr>
          <w:p>
            <w:pPr>
              <w:pStyle w:val="null3"/>
            </w:pPr>
            <w:r>
              <w:rPr>
                <w:rFonts w:ascii="仿宋_GB2312" w:hAnsi="仿宋_GB2312" w:cs="仿宋_GB2312" w:eastAsia="仿宋_GB2312"/>
              </w:rPr>
              <w:t>供应商针对本项目维保过程中对馆内文物的保护措施，内容包括但不限于：①具备详细的文物保护方案；②完善的保护措施，方案及防护措施全部内容均能对文物保护提供保障作用； 评审标准：①完善性：方案必须全面，对评审内容中的各项要求有详细阐述；②可实施性：切合本项目实际情况，提出步骤清晰、合理的方案；③针对性：方案能够紧扣项目实际情况，内容科学合理。上述2项评审内容全部满足评审标准得6分，每有一个评审内容缺项扣3分，每项评审内容如存在缺陷，每个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拟投入设备情况</w:t>
            </w:r>
          </w:p>
        </w:tc>
        <w:tc>
          <w:tcPr>
            <w:tcW w:type="dxa" w:w="2492"/>
          </w:tcPr>
          <w:p>
            <w:pPr>
              <w:pStyle w:val="null3"/>
            </w:pPr>
            <w:r>
              <w:rPr>
                <w:rFonts w:ascii="仿宋_GB2312" w:hAnsi="仿宋_GB2312" w:cs="仿宋_GB2312" w:eastAsia="仿宋_GB2312"/>
              </w:rPr>
              <w:t>①供应商提供拟投入本项目工作的常用设备清单。②供应商针对本项目更换的配件须为合格产品，提供承诺函； 评审标准：①完善性：提供设备必须全面完善，对资产清查内容中的各项要求都能满足；②合理性：所提供设备切合本项目实际情况。 上述2项内容全部满足评审标准得6分，每有一个评审内容缺项扣3分，评审内容如存在缺陷，每个缺陷扣1分，扣完为止。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针对本项目在服务过程中的质量、进度、安全、节能、维修响应时间、以及由于投标人自身原因造成损坏的赔偿承诺。 评审标准：①完善性：方案必须全面，对评审内容中的各项要求有详细阐述；②可实施性：切合本项目实际情况，提出步骤清晰、合理的方案；③针对性：方案能够紧扣项目实际情况，内容科学合理。全部满足评审标准得3分，每项评审内容如存在缺陷，每个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供应商近三年（2023年05月01日起至近）具有类似项目业绩，每具有1项上述业绩得2分，最高得10分。 注：1.以合同签订时间或中标通知书时间为准，并提供加盖公章的复印件，复印件要求清晰，便于查验，合同中须体现所要求的关键信息，否则不计分； 2.同一份业绩不重复计分。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价格分采用低价优先法计算，即满足磋商文件要求且价格最低报价的为评标基准价，其价格分为满分。其他投标单位的价格分按照以下公式计算：投标报价得分=(评标基准价／投标报价)×价格权值×100 注：计算分数时四舍五入取小数点后两位。1专门面向中小企业采购项目不享受优惠政策。</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详见附件：联合体投标协议书.docx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