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360" w:lineRule="auto"/>
        <w:ind w:left="0" w:leftChars="0" w:firstLine="0" w:firstLineChars="0"/>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拟签订采购合同文本</w:t>
      </w:r>
    </w:p>
    <w:p>
      <w:pPr>
        <w:spacing w:line="360" w:lineRule="auto"/>
        <w:jc w:val="center"/>
        <w:rPr>
          <w:rFonts w:hint="eastAsia" w:ascii="宋体" w:hAnsi="宋体" w:eastAsia="宋体" w:cs="宋体"/>
          <w:b/>
          <w:bCs/>
          <w:color w:val="auto"/>
          <w:kern w:val="44"/>
          <w:sz w:val="24"/>
          <w:highlight w:val="none"/>
          <w:lang w:eastAsia="zh-CN"/>
        </w:rPr>
      </w:pPr>
      <w:bookmarkStart w:id="0" w:name="_GoBack"/>
      <w:bookmarkEnd w:id="0"/>
    </w:p>
    <w:p>
      <w:pPr>
        <w:spacing w:line="360" w:lineRule="auto"/>
        <w:jc w:val="center"/>
        <w:rPr>
          <w:rFonts w:hint="eastAsia" w:ascii="宋体" w:hAnsi="宋体" w:eastAsia="宋体" w:cs="宋体"/>
          <w:b/>
          <w:bCs/>
          <w:color w:val="auto"/>
          <w:kern w:val="44"/>
          <w:sz w:val="24"/>
          <w:highlight w:val="none"/>
          <w:lang w:eastAsia="zh-CN"/>
        </w:rPr>
      </w:pPr>
    </w:p>
    <w:p>
      <w:pPr>
        <w:spacing w:line="360" w:lineRule="auto"/>
        <w:jc w:val="center"/>
        <w:rPr>
          <w:rFonts w:hint="eastAsia" w:ascii="宋体" w:hAnsi="宋体" w:eastAsia="宋体" w:cs="宋体"/>
          <w:b/>
          <w:bCs/>
          <w:color w:val="auto"/>
          <w:kern w:val="44"/>
          <w:sz w:val="24"/>
          <w:highlight w:val="none"/>
          <w:lang w:eastAsia="zh-CN"/>
        </w:rPr>
      </w:pPr>
    </w:p>
    <w:p>
      <w:pPr>
        <w:spacing w:line="360" w:lineRule="auto"/>
        <w:jc w:val="center"/>
        <w:rPr>
          <w:rFonts w:hint="eastAsia" w:ascii="宋体" w:hAnsi="宋体" w:eastAsia="宋体" w:cs="宋体"/>
          <w:b/>
          <w:color w:val="auto"/>
          <w:sz w:val="40"/>
          <w:szCs w:val="40"/>
          <w:highlight w:val="none"/>
          <w:lang w:eastAsia="zh-CN"/>
        </w:rPr>
      </w:pPr>
      <w:r>
        <w:rPr>
          <w:rFonts w:hint="eastAsia" w:ascii="宋体" w:hAnsi="宋体" w:eastAsia="宋体" w:cs="宋体"/>
          <w:b/>
          <w:color w:val="auto"/>
          <w:sz w:val="40"/>
          <w:szCs w:val="40"/>
          <w:highlight w:val="none"/>
          <w:lang w:eastAsia="zh-CN"/>
        </w:rPr>
        <w:t>西安碑林博物馆</w:t>
      </w:r>
    </w:p>
    <w:p>
      <w:pPr>
        <w:spacing w:line="360" w:lineRule="auto"/>
        <w:jc w:val="center"/>
        <w:rPr>
          <w:rFonts w:hint="eastAsia" w:ascii="宋体" w:hAnsi="宋体" w:eastAsia="宋体" w:cs="宋体"/>
          <w:b/>
          <w:color w:val="auto"/>
          <w:sz w:val="44"/>
          <w:szCs w:val="44"/>
          <w:highlight w:val="none"/>
          <w:lang w:eastAsia="zh-CN"/>
        </w:rPr>
      </w:pPr>
      <w:r>
        <w:rPr>
          <w:rFonts w:hint="eastAsia" w:ascii="宋体" w:hAnsi="宋体" w:eastAsia="宋体" w:cs="宋体"/>
          <w:b/>
          <w:color w:val="auto"/>
          <w:sz w:val="40"/>
          <w:szCs w:val="40"/>
          <w:highlight w:val="none"/>
          <w:lang w:eastAsia="zh-CN"/>
        </w:rPr>
        <w:t>2026年度设施设备维保服务项目</w:t>
      </w:r>
    </w:p>
    <w:p>
      <w:pPr>
        <w:pStyle w:val="4"/>
        <w:rPr>
          <w:rFonts w:hint="eastAsia"/>
          <w:color w:val="auto"/>
          <w:highlight w:val="none"/>
          <w:lang w:eastAsia="zh-CN"/>
        </w:rPr>
      </w:pPr>
    </w:p>
    <w:p>
      <w:pPr>
        <w:spacing w:line="360" w:lineRule="auto"/>
        <w:ind w:firstLine="2249" w:firstLineChars="700"/>
        <w:jc w:val="both"/>
        <w:rPr>
          <w:rFonts w:hint="eastAsia" w:ascii="宋体" w:hAnsi="宋体" w:eastAsia="宋体" w:cs="宋体"/>
          <w:b/>
          <w:color w:val="auto"/>
          <w:sz w:val="32"/>
          <w:szCs w:val="32"/>
          <w:highlight w:val="none"/>
          <w:lang w:eastAsia="zh-CN"/>
        </w:rPr>
      </w:pPr>
    </w:p>
    <w:p>
      <w:pPr>
        <w:spacing w:line="360" w:lineRule="auto"/>
        <w:ind w:firstLine="2249" w:firstLineChars="700"/>
        <w:jc w:val="both"/>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合同编号：__________________</w:t>
      </w:r>
    </w:p>
    <w:p>
      <w:pPr>
        <w:spacing w:line="360" w:lineRule="auto"/>
        <w:rPr>
          <w:rFonts w:hint="eastAsia" w:ascii="宋体" w:hAnsi="宋体" w:eastAsia="宋体" w:cs="宋体"/>
          <w:color w:val="auto"/>
          <w:sz w:val="24"/>
          <w:highlight w:val="none"/>
          <w:lang w:eastAsia="zh-CN"/>
        </w:rPr>
      </w:pPr>
    </w:p>
    <w:p>
      <w:pPr>
        <w:spacing w:line="360" w:lineRule="auto"/>
        <w:jc w:val="center"/>
        <w:rPr>
          <w:rFonts w:hint="eastAsia" w:ascii="宋体" w:hAnsi="宋体" w:eastAsia="宋体" w:cs="宋体"/>
          <w:b/>
          <w:color w:val="auto"/>
          <w:sz w:val="36"/>
          <w:szCs w:val="36"/>
          <w:highlight w:val="none"/>
          <w:lang w:eastAsia="zh-CN"/>
        </w:rPr>
      </w:pPr>
    </w:p>
    <w:p>
      <w:pPr>
        <w:rPr>
          <w:rFonts w:hint="eastAsia" w:ascii="宋体" w:hAnsi="宋体" w:eastAsia="宋体" w:cs="宋体"/>
          <w:b/>
          <w:color w:val="auto"/>
          <w:sz w:val="36"/>
          <w:szCs w:val="36"/>
          <w:highlight w:val="none"/>
          <w:lang w:eastAsia="zh-CN"/>
        </w:rPr>
      </w:pPr>
    </w:p>
    <w:p>
      <w:pPr>
        <w:rPr>
          <w:rFonts w:hint="eastAsia" w:ascii="宋体" w:hAnsi="宋体" w:eastAsia="宋体" w:cs="宋体"/>
          <w:b/>
          <w:color w:val="auto"/>
          <w:sz w:val="36"/>
          <w:szCs w:val="36"/>
          <w:highlight w:val="none"/>
          <w:lang w:eastAsia="zh-CN"/>
        </w:rPr>
      </w:pPr>
    </w:p>
    <w:p>
      <w:pPr>
        <w:pStyle w:val="3"/>
        <w:rPr>
          <w:rFonts w:hint="eastAsia" w:ascii="宋体" w:hAnsi="宋体" w:eastAsia="宋体" w:cs="宋体"/>
          <w:color w:val="auto"/>
          <w:highlight w:val="none"/>
          <w:lang w:eastAsia="zh-CN"/>
        </w:rPr>
      </w:pPr>
    </w:p>
    <w:p>
      <w:pPr>
        <w:spacing w:line="360" w:lineRule="auto"/>
        <w:jc w:val="center"/>
        <w:rPr>
          <w:rFonts w:hint="eastAsia" w:ascii="宋体" w:hAnsi="宋体" w:eastAsia="宋体" w:cs="宋体"/>
          <w:b/>
          <w:color w:val="auto"/>
          <w:sz w:val="48"/>
          <w:szCs w:val="48"/>
          <w:highlight w:val="none"/>
          <w:lang w:eastAsia="zh-CN"/>
        </w:rPr>
      </w:pPr>
      <w:r>
        <w:rPr>
          <w:rFonts w:hint="eastAsia" w:ascii="宋体" w:hAnsi="宋体" w:eastAsia="宋体" w:cs="宋体"/>
          <w:b/>
          <w:color w:val="auto"/>
          <w:sz w:val="48"/>
          <w:szCs w:val="48"/>
          <w:highlight w:val="none"/>
          <w:lang w:eastAsia="zh-CN"/>
        </w:rPr>
        <w:t>合同书</w:t>
      </w:r>
    </w:p>
    <w:p>
      <w:pPr>
        <w:spacing w:line="360" w:lineRule="auto"/>
        <w:rPr>
          <w:rFonts w:hint="eastAsia" w:ascii="宋体" w:hAnsi="宋体" w:eastAsia="宋体" w:cs="宋体"/>
          <w:color w:val="auto"/>
          <w:sz w:val="24"/>
          <w:highlight w:val="none"/>
          <w:lang w:eastAsia="zh-CN"/>
        </w:rPr>
      </w:pPr>
    </w:p>
    <w:p>
      <w:pPr>
        <w:spacing w:line="360" w:lineRule="auto"/>
        <w:rPr>
          <w:rFonts w:hint="eastAsia" w:ascii="宋体" w:hAnsi="宋体" w:eastAsia="宋体" w:cs="宋体"/>
          <w:color w:val="auto"/>
          <w:sz w:val="24"/>
          <w:highlight w:val="none"/>
          <w:lang w:eastAsia="zh-CN"/>
        </w:rPr>
      </w:pPr>
    </w:p>
    <w:p>
      <w:pPr>
        <w:spacing w:line="360" w:lineRule="auto"/>
        <w:rPr>
          <w:rFonts w:hint="eastAsia" w:ascii="宋体" w:hAnsi="宋体" w:eastAsia="宋体" w:cs="宋体"/>
          <w:color w:val="auto"/>
          <w:sz w:val="24"/>
          <w:highlight w:val="none"/>
          <w:lang w:eastAsia="zh-CN"/>
        </w:rPr>
      </w:pPr>
    </w:p>
    <w:p>
      <w:pPr>
        <w:spacing w:line="360" w:lineRule="auto"/>
        <w:rPr>
          <w:rFonts w:hint="eastAsia" w:ascii="宋体" w:hAnsi="宋体" w:eastAsia="宋体" w:cs="宋体"/>
          <w:color w:val="auto"/>
          <w:sz w:val="28"/>
          <w:szCs w:val="28"/>
          <w:highlight w:val="none"/>
          <w:lang w:eastAsia="zh-CN"/>
        </w:rPr>
      </w:pPr>
    </w:p>
    <w:p>
      <w:pPr>
        <w:spacing w:line="360" w:lineRule="auto"/>
        <w:ind w:firstLine="1687" w:firstLineChars="600"/>
        <w:rPr>
          <w:rFonts w:hint="eastAsia" w:ascii="宋体" w:hAnsi="宋体" w:eastAsia="宋体" w:cs="宋体"/>
          <w:b/>
          <w:bCs/>
          <w:color w:val="auto"/>
          <w:sz w:val="28"/>
          <w:szCs w:val="28"/>
          <w:highlight w:val="none"/>
          <w:u w:val="single"/>
          <w:lang w:eastAsia="zh-CN"/>
        </w:rPr>
      </w:pPr>
      <w:r>
        <w:rPr>
          <w:rFonts w:hint="eastAsia" w:ascii="宋体" w:hAnsi="宋体" w:eastAsia="宋体" w:cs="宋体"/>
          <w:b/>
          <w:bCs/>
          <w:color w:val="auto"/>
          <w:sz w:val="28"/>
          <w:szCs w:val="28"/>
          <w:highlight w:val="none"/>
          <w:lang w:eastAsia="zh-CN"/>
        </w:rPr>
        <w:t>采购人（甲方）：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pPr>
        <w:spacing w:line="360" w:lineRule="auto"/>
        <w:ind w:firstLine="1687" w:firstLineChars="600"/>
        <w:rPr>
          <w:rFonts w:hint="eastAsia" w:ascii="宋体" w:hAnsi="宋体" w:eastAsia="宋体" w:cs="宋体"/>
          <w:b/>
          <w:bCs/>
          <w:color w:val="auto"/>
          <w:sz w:val="28"/>
          <w:szCs w:val="28"/>
          <w:highlight w:val="none"/>
          <w:u w:val="single"/>
          <w:lang w:eastAsia="zh-CN"/>
        </w:rPr>
      </w:pPr>
      <w:r>
        <w:rPr>
          <w:rFonts w:hint="eastAsia" w:ascii="宋体" w:hAnsi="宋体" w:eastAsia="宋体" w:cs="宋体"/>
          <w:b/>
          <w:bCs/>
          <w:color w:val="auto"/>
          <w:sz w:val="28"/>
          <w:szCs w:val="28"/>
          <w:highlight w:val="none"/>
          <w:lang w:eastAsia="zh-CN"/>
        </w:rPr>
        <w:t>成交人（乙方）：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pPr>
        <w:spacing w:line="360" w:lineRule="auto"/>
        <w:ind w:firstLine="1687" w:firstLineChars="6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签订日期：</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pPr>
        <w:pStyle w:val="3"/>
        <w:rPr>
          <w:rFonts w:hint="eastAsia" w:ascii="宋体" w:hAnsi="宋体" w:eastAsia="宋体" w:cs="宋体"/>
          <w:color w:val="auto"/>
          <w:highlight w:val="none"/>
          <w:lang w:eastAsia="zh-CN"/>
        </w:rPr>
      </w:pPr>
    </w:p>
    <w:p>
      <w:pPr>
        <w:spacing w:line="360" w:lineRule="auto"/>
        <w:ind w:left="0" w:leftChars="0" w:firstLine="0" w:firstLineChars="0"/>
        <w:rPr>
          <w:rFonts w:hint="eastAsia" w:ascii="宋体" w:hAnsi="宋体" w:eastAsia="宋体" w:cs="宋体"/>
          <w:color w:val="auto"/>
          <w:sz w:val="24"/>
          <w:highlight w:val="none"/>
        </w:rPr>
      </w:pPr>
    </w:p>
    <w:p>
      <w:pPr>
        <w:spacing w:line="360" w:lineRule="auto"/>
        <w:ind w:left="0" w:leftChars="0"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甲方：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p>
    <w:p>
      <w:pPr>
        <w:spacing w:line="360" w:lineRule="auto"/>
        <w:ind w:firstLine="480" w:firstLineChars="200"/>
        <w:rPr>
          <w:rFonts w:hint="eastAsia"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乙方：</w:t>
      </w:r>
      <w:r>
        <w:rPr>
          <w:rFonts w:hint="eastAsia" w:ascii="宋体" w:hAnsi="宋体" w:eastAsia="宋体" w:cs="宋体"/>
          <w:color w:val="auto"/>
          <w:sz w:val="24"/>
          <w:highlight w:val="none"/>
          <w:u w:val="single"/>
          <w:lang w:val="en-US" w:eastAsia="zh-CN"/>
        </w:rPr>
        <w:t xml:space="preserve">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根据《中华人民共和国民法典》及相关法律法规，本着平等互利、等价有怯、诚实信用的原则，双方就</w:t>
      </w:r>
      <w:r>
        <w:rPr>
          <w:rFonts w:hint="eastAsia" w:ascii="宋体" w:hAnsi="宋体" w:eastAsia="宋体" w:cs="宋体"/>
          <w:color w:val="auto"/>
          <w:sz w:val="24"/>
          <w:highlight w:val="none"/>
          <w:lang w:eastAsia="zh-CN"/>
        </w:rPr>
        <w:t>西安碑林博物馆2026年度设施设备维保服务项目</w:t>
      </w:r>
      <w:r>
        <w:rPr>
          <w:rFonts w:hint="eastAsia" w:ascii="宋体" w:hAnsi="宋体" w:eastAsia="宋体" w:cs="宋体"/>
          <w:color w:val="auto"/>
          <w:sz w:val="24"/>
          <w:highlight w:val="none"/>
        </w:rPr>
        <w:t>的相关服务事项协商一致。甲、乙双方在平等自愿的基础上，经友好协商，订立本合同。就甲方委托乙方</w:t>
      </w:r>
      <w:r>
        <w:rPr>
          <w:rFonts w:hint="eastAsia" w:ascii="宋体" w:hAnsi="宋体" w:eastAsia="宋体" w:cs="宋体"/>
          <w:color w:val="auto"/>
          <w:sz w:val="24"/>
          <w:highlight w:val="none"/>
          <w:lang w:eastAsia="zh-CN"/>
        </w:rPr>
        <w:t>西安碑林博物馆2026年度设施设备维保服务项目</w:t>
      </w:r>
      <w:r>
        <w:rPr>
          <w:rFonts w:hint="eastAsia" w:ascii="宋体" w:hAnsi="宋体" w:eastAsia="宋体" w:cs="宋体"/>
          <w:color w:val="auto"/>
          <w:sz w:val="24"/>
          <w:highlight w:val="none"/>
        </w:rPr>
        <w:t>工作达成如下协议：</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第一条 项目概况</w:t>
      </w:r>
    </w:p>
    <w:p>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1、项目名称：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eastAsia="zh-CN"/>
        </w:rPr>
        <w:t>西安碑林博物馆2026年度设施设备维保服务项目</w:t>
      </w:r>
      <w:r>
        <w:rPr>
          <w:rFonts w:hint="eastAsia" w:ascii="宋体" w:hAnsi="宋体" w:eastAsia="宋体" w:cs="宋体"/>
          <w:color w:val="auto"/>
          <w:sz w:val="24"/>
          <w:highlight w:val="none"/>
          <w:u w:val="single"/>
          <w:lang w:val="en-US" w:eastAsia="zh-CN"/>
        </w:rPr>
        <w:t xml:space="preserve">  </w:t>
      </w:r>
    </w:p>
    <w:p>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2、项目地点：</w:t>
      </w:r>
      <w:r>
        <w:rPr>
          <w:rFonts w:hint="eastAsia"/>
          <w:color w:val="auto"/>
          <w:u w:val="single"/>
          <w:lang w:val="en-US" w:eastAsia="zh-CN"/>
        </w:rPr>
        <w:t xml:space="preserve">                                  </w:t>
      </w:r>
    </w:p>
    <w:p>
      <w:pPr>
        <w:spacing w:line="360" w:lineRule="auto"/>
        <w:ind w:firstLine="480" w:firstLineChars="200"/>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3、服务内容：</w:t>
      </w:r>
      <w:r>
        <w:rPr>
          <w:rFonts w:hint="eastAsia"/>
          <w:color w:val="auto"/>
          <w:u w:val="single"/>
          <w:lang w:val="en-US" w:eastAsia="zh-CN"/>
        </w:rPr>
        <w:t xml:space="preserve">                                   </w:t>
      </w:r>
    </w:p>
    <w:p>
      <w:pPr>
        <w:widowControl/>
        <w:wordWrap w:val="0"/>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1" locked="0" layoutInCell="1" allowOverlap="1">
                <wp:simplePos x="0" y="0"/>
                <wp:positionH relativeFrom="page">
                  <wp:posOffset>12764770</wp:posOffset>
                </wp:positionH>
                <wp:positionV relativeFrom="paragraph">
                  <wp:posOffset>173355</wp:posOffset>
                </wp:positionV>
                <wp:extent cx="410210" cy="8509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10210" cy="850900"/>
                        </a:xfrm>
                        <a:prstGeom prst="rect">
                          <a:avLst/>
                        </a:prstGeom>
                        <a:noFill/>
                        <a:ln>
                          <a:noFill/>
                        </a:ln>
                        <a:effectLst/>
                      </wps:spPr>
                      <wps:txbx>
                        <w:txbxContent>
                          <w:p>
                            <w:pPr>
                              <w:spacing w:before="0" w:line="132" w:lineRule="auto"/>
                              <w:ind w:left="20" w:right="-2" w:firstLine="0"/>
                              <w:jc w:val="left"/>
                              <w:rPr>
                                <w:sz w:val="35"/>
                              </w:rPr>
                            </w:pPr>
                            <w:r>
                              <w:rPr>
                                <w:color w:val="E64842"/>
                                <w:spacing w:val="-29"/>
                                <w:w w:val="100"/>
                                <w:position w:val="1"/>
                                <w:sz w:val="54"/>
                              </w:rPr>
                              <w:t>七</w:t>
                            </w:r>
                            <w:r>
                              <w:rPr>
                                <w:color w:val="CF575D"/>
                                <w:spacing w:val="-150"/>
                                <w:w w:val="100"/>
                                <w:position w:val="-4"/>
                                <w:sz w:val="54"/>
                              </w:rPr>
                              <w:t>、</w:t>
                            </w:r>
                            <w:r>
                              <w:rPr>
                                <w:color w:val="E64842"/>
                                <w:spacing w:val="-156"/>
                                <w:sz w:val="35"/>
                              </w:rPr>
                              <w:t>之-</w:t>
                            </w:r>
                          </w:p>
                        </w:txbxContent>
                      </wps:txbx>
                      <wps:bodyPr vert="eaVert" lIns="0" tIns="0" rIns="0" bIns="0" upright="1"/>
                    </wps:wsp>
                  </a:graphicData>
                </a:graphic>
              </wp:anchor>
            </w:drawing>
          </mc:Choice>
          <mc:Fallback>
            <w:pict>
              <v:shape id="_x0000_s1026" o:spid="_x0000_s1026" o:spt="202" type="#_x0000_t202" style="position:absolute;left:0pt;margin-left:1005.1pt;margin-top:13.65pt;height:67pt;width:32.3pt;mso-position-horizontal-relative:page;z-index:-251657216;mso-width-relative:page;mso-height-relative:page;" filled="f" stroked="f" coordsize="21600,21600" o:gfxdata="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Wmuo7tgAAAAMAQAADwAAAAAAAAABACAAAAAiAAAAZHJzL2Rvd25y&#10;ZXYueG1sUEsBAhQAFAAAAAgAh07iQFaOjLvFAQAAjQMAAA4AAAAAAAAAAQAgAAAAJwEAAGRycy9l&#10;Mm9Eb2MueG1sUEsFBgAAAAAGAAYAWQEAAF4FAAAAAA==&#10;">
                <v:path/>
                <v:fill on="f" focussize="0,0"/>
                <v:stroke on="f"/>
                <v:imagedata o:title=""/>
                <o:lock v:ext="edit" aspectratio="f"/>
                <v:textbox inset="0mm,0mm,0mm,0mm" style="layout-flow:vertical-ideographic;">
                  <w:txbxContent>
                    <w:p>
                      <w:pPr>
                        <w:spacing w:before="0" w:line="132" w:lineRule="auto"/>
                        <w:ind w:left="20" w:right="-2" w:firstLine="0"/>
                        <w:jc w:val="left"/>
                        <w:rPr>
                          <w:sz w:val="35"/>
                        </w:rPr>
                      </w:pPr>
                      <w:r>
                        <w:rPr>
                          <w:color w:val="E64842"/>
                          <w:spacing w:val="-29"/>
                          <w:w w:val="100"/>
                          <w:position w:val="1"/>
                          <w:sz w:val="54"/>
                        </w:rPr>
                        <w:t>七</w:t>
                      </w:r>
                      <w:r>
                        <w:rPr>
                          <w:color w:val="CF575D"/>
                          <w:spacing w:val="-150"/>
                          <w:w w:val="100"/>
                          <w:position w:val="-4"/>
                          <w:sz w:val="54"/>
                        </w:rPr>
                        <w:t>、</w:t>
                      </w:r>
                      <w:r>
                        <w:rPr>
                          <w:color w:val="E64842"/>
                          <w:spacing w:val="-156"/>
                          <w:sz w:val="35"/>
                        </w:rPr>
                        <w:t>之-</w:t>
                      </w:r>
                    </w:p>
                  </w:txbxContent>
                </v:textbox>
              </v:shape>
            </w:pict>
          </mc:Fallback>
        </mc:AlternateContent>
      </w:r>
      <w:r>
        <w:rPr>
          <w:rFonts w:hint="eastAsia" w:ascii="宋体" w:hAnsi="宋体" w:eastAsia="宋体" w:cs="宋体"/>
          <w:color w:val="auto"/>
          <w:sz w:val="24"/>
          <w:highlight w:val="none"/>
        </w:rPr>
        <w:t>4、合同总价（含税）：</w:t>
      </w:r>
      <w:r>
        <w:rPr>
          <w:rFonts w:hint="eastAsia" w:ascii="宋体" w:hAnsi="宋体" w:eastAsia="宋体" w:cs="宋体"/>
          <w:b w:val="0"/>
          <w:bCs w:val="0"/>
          <w:color w:val="auto"/>
          <w:kern w:val="0"/>
          <w:sz w:val="24"/>
          <w:highlight w:val="none"/>
          <w:u w:val="single"/>
        </w:rPr>
        <w:t xml:space="preserve">          元</w:t>
      </w:r>
      <w:r>
        <w:rPr>
          <w:rFonts w:hint="eastAsia" w:ascii="宋体" w:hAnsi="宋体" w:eastAsia="宋体" w:cs="宋体"/>
          <w:b w:val="0"/>
          <w:bCs w:val="0"/>
          <w:color w:val="auto"/>
          <w:kern w:val="0"/>
          <w:sz w:val="24"/>
          <w:highlight w:val="none"/>
          <w:lang w:eastAsia="zh-CN"/>
        </w:rPr>
        <w:t>，</w:t>
      </w:r>
      <w:r>
        <w:rPr>
          <w:rFonts w:hint="eastAsia" w:ascii="宋体" w:hAnsi="宋体" w:eastAsia="宋体" w:cs="宋体"/>
          <w:b w:val="0"/>
          <w:bCs w:val="0"/>
          <w:color w:val="auto"/>
          <w:kern w:val="0"/>
          <w:sz w:val="24"/>
          <w:highlight w:val="none"/>
        </w:rPr>
        <w:t>(大写</w:t>
      </w:r>
      <w:r>
        <w:rPr>
          <w:rFonts w:hint="eastAsia" w:ascii="宋体" w:hAnsi="宋体" w:eastAsia="宋体" w:cs="宋体"/>
          <w:b w:val="0"/>
          <w:bCs w:val="0"/>
          <w:color w:val="auto"/>
          <w:kern w:val="0"/>
          <w:sz w:val="24"/>
          <w:highlight w:val="none"/>
          <w:u w:val="single"/>
        </w:rPr>
        <w:t xml:space="preserve">：         </w:t>
      </w:r>
      <w:r>
        <w:rPr>
          <w:rFonts w:hint="eastAsia" w:ascii="宋体" w:hAnsi="宋体" w:eastAsia="宋体" w:cs="宋体"/>
          <w:b w:val="0"/>
          <w:bCs w:val="0"/>
          <w:color w:val="auto"/>
          <w:kern w:val="0"/>
          <w:sz w:val="24"/>
          <w:highlight w:val="none"/>
        </w:rPr>
        <w:t>)</w:t>
      </w:r>
      <w:r>
        <w:rPr>
          <w:rFonts w:hint="eastAsia" w:ascii="宋体" w:hAnsi="宋体" w:eastAsia="宋体" w:cs="宋体"/>
          <w:color w:val="auto"/>
          <w:sz w:val="24"/>
          <w:highlight w:val="none"/>
        </w:rPr>
        <w:t>。</w:t>
      </w:r>
    </w:p>
    <w:p>
      <w:pPr>
        <w:widowControl/>
        <w:wordWrap w:val="0"/>
        <w:adjustRightInd w:val="0"/>
        <w:snapToGrid w:val="0"/>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乙方负责项目实施过程中的所有费用，本</w:t>
      </w:r>
      <w:r>
        <w:rPr>
          <w:rFonts w:hint="eastAsia" w:ascii="宋体" w:hAnsi="宋体" w:eastAsia="宋体" w:cs="宋体"/>
          <w:color w:val="auto"/>
          <w:sz w:val="24"/>
          <w:highlight w:val="none"/>
          <w:lang w:eastAsia="zh-CN"/>
        </w:rPr>
        <w:t>合同总价</w:t>
      </w:r>
      <w:r>
        <w:rPr>
          <w:rFonts w:hint="eastAsia" w:ascii="宋体" w:hAnsi="宋体" w:eastAsia="宋体" w:cs="宋体"/>
          <w:color w:val="auto"/>
          <w:sz w:val="24"/>
          <w:highlight w:val="none"/>
        </w:rPr>
        <w:t>中包含本项目全部费用</w:t>
      </w:r>
      <w:r>
        <w:rPr>
          <w:rFonts w:hint="eastAsia" w:ascii="宋体" w:hAnsi="宋体" w:eastAsia="宋体" w:cs="宋体"/>
          <w:color w:val="auto"/>
          <w:sz w:val="24"/>
          <w:highlight w:val="none"/>
          <w:lang w:eastAsia="zh-CN"/>
        </w:rPr>
        <w:t>（含人工、工具、常用耗材、检测费、税费、配件费等）</w:t>
      </w:r>
      <w:r>
        <w:rPr>
          <w:rFonts w:hint="eastAsia" w:ascii="宋体" w:hAnsi="宋体" w:eastAsia="宋体" w:cs="宋体"/>
          <w:color w:val="auto"/>
          <w:sz w:val="24"/>
          <w:highlight w:val="none"/>
        </w:rPr>
        <w:t>，甲方不再另付任何费用。</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第二条 项目服务期限</w:t>
      </w:r>
      <w:r>
        <w:rPr>
          <w:rFonts w:hint="eastAsia" w:ascii="宋体" w:hAnsi="宋体" w:eastAsia="宋体" w:cs="宋体"/>
          <w:b/>
          <w:bCs/>
          <w:color w:val="auto"/>
          <w:sz w:val="24"/>
          <w:highlight w:val="none"/>
        </w:rPr>
        <w:tab/>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服务期：</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2、质量标准：符合国家及行业质量验收合格标准。</w:t>
      </w:r>
    </w:p>
    <w:p>
      <w:pPr>
        <w:spacing w:line="360" w:lineRule="auto"/>
        <w:ind w:firstLine="482" w:firstLineChars="200"/>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第三条 双方的权利和义务</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1、甲方配合乙方工作，向乙方提供相关资料，并做好有关配合工作。</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2、项目服务方式如需变更，甲、乙双方应协商一致，另行签定书面变更协议，同时调整相关费用及服务期。若甲方临时增加项目或改变项目方案，所增加的费用由甲乙双方协商后确定。</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3、乙方指派专人为乙方驻地代表，负责合同履行，并负责与甲方联络工作。</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4、甲方对乙方提供的咨询服务建议或报告有审议、修改及最终决策的权利。</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5、乙方保证项目实施中的安全，消除事故隐患，项目实施过程中造的损失，一切责任由乙方承担。</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6、乙方提供的相关服务质量符合国家相关要求。</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7、乙方应在本合同约定的期限内完成服务。</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8、服务形式根据甲方需要而定，乙方可以为甲方提供书面的咨询服务方案、建议、报告、信息服务等，也可以为甲方提供现场咨询服务等形式的咨询服务。</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9、乙方在我国现行法律、政策允许的范围内，遵循诚实、勤勉、尽职的原则，按合同约定为甲方提供咨询服务。</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10、乙方应承担保密义务，未经甲方许可，乙方不得向第三方提供(披露)。</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11、乙方延误服务期或者质量不符合要求和规定的，甲方有权向乙方追偿。</w:t>
      </w:r>
    </w:p>
    <w:p>
      <w:pPr>
        <w:spacing w:line="360" w:lineRule="auto"/>
        <w:ind w:firstLine="482" w:firstLineChars="200"/>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第四条 结算及付款方式</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1、由甲方负责结算。在付款前，成交人必须开具与合同金额相应的发票给采购人。</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2、签订合同后，达到付款条件起30日内，支付合同总金额的30.00%；服务满半年后，达到付款条件起30日内，支付合同总金额的40.00%；服务期满且验收合格后，达到付款条件起30日内，支付合同总金额的30.00%。</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3、结算方式:银行转账。</w:t>
      </w:r>
    </w:p>
    <w:p>
      <w:pPr>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账户名称:</w:t>
      </w:r>
      <w:r>
        <w:rPr>
          <w:rFonts w:hint="eastAsia" w:ascii="宋体" w:hAnsi="宋体" w:eastAsia="宋体" w:cs="宋体"/>
          <w:color w:val="auto"/>
          <w:sz w:val="24"/>
          <w:highlight w:val="none"/>
          <w:u w:val="single"/>
          <w:lang w:val="en-US" w:eastAsia="zh-CN"/>
        </w:rPr>
        <w:t xml:space="preserve">                  </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账号:</w:t>
      </w:r>
      <w:r>
        <w:rPr>
          <w:rFonts w:hint="eastAsia" w:ascii="宋体" w:hAnsi="宋体" w:eastAsia="宋体" w:cs="宋体"/>
          <w:color w:val="auto"/>
          <w:sz w:val="24"/>
          <w:highlight w:val="none"/>
          <w:u w:val="single"/>
          <w:lang w:val="en-US" w:eastAsia="zh-CN"/>
        </w:rPr>
        <w:t xml:space="preserve">                      </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开户银行:</w:t>
      </w:r>
      <w:r>
        <w:rPr>
          <w:rFonts w:hint="eastAsia" w:ascii="宋体" w:hAnsi="宋体" w:eastAsia="宋体" w:cs="宋体"/>
          <w:color w:val="auto"/>
          <w:sz w:val="24"/>
          <w:highlight w:val="none"/>
          <w:u w:val="single"/>
          <w:lang w:val="en-US" w:eastAsia="zh-CN"/>
        </w:rPr>
        <w:t xml:space="preserve">                  </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第</w:t>
      </w:r>
      <w:r>
        <w:rPr>
          <w:rFonts w:hint="eastAsia" w:ascii="宋体" w:hAnsi="宋体" w:eastAsia="宋体" w:cs="宋体"/>
          <w:b/>
          <w:bCs/>
          <w:color w:val="auto"/>
          <w:sz w:val="24"/>
          <w:highlight w:val="none"/>
        </w:rPr>
        <w:t>五条</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验收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按照合同规定的内容，按照谁采购谁组织验收的原则，成立三人以上领导小组对合同约定的内容进行</w:t>
      </w:r>
      <w:r>
        <w:rPr>
          <w:rFonts w:hint="eastAsia" w:ascii="宋体" w:hAnsi="宋体" w:eastAsia="宋体" w:cs="宋体"/>
          <w:color w:val="auto"/>
          <w:sz w:val="24"/>
          <w:highlight w:val="none"/>
          <w:lang w:eastAsia="zh-CN"/>
        </w:rPr>
        <w:t>履</w:t>
      </w:r>
      <w:r>
        <w:rPr>
          <w:rFonts w:hint="eastAsia" w:ascii="宋体" w:hAnsi="宋体" w:eastAsia="宋体" w:cs="宋体"/>
          <w:color w:val="auto"/>
          <w:sz w:val="24"/>
          <w:highlight w:val="none"/>
        </w:rPr>
        <w:t>约验收，以确定服务符合合同的</w:t>
      </w:r>
      <w:r>
        <w:rPr>
          <w:rFonts w:hint="eastAsia" w:ascii="宋体" w:hAnsi="宋体" w:eastAsia="宋体" w:cs="宋体"/>
          <w:color w:val="auto"/>
          <w:sz w:val="24"/>
          <w:highlight w:val="none"/>
          <w:lang w:eastAsia="zh-CN"/>
        </w:rPr>
        <w:t>要</w:t>
      </w:r>
      <w:r>
        <w:rPr>
          <w:rFonts w:hint="eastAsia" w:ascii="宋体" w:hAnsi="宋体" w:eastAsia="宋体" w:cs="宋体"/>
          <w:color w:val="auto"/>
          <w:sz w:val="24"/>
          <w:highlight w:val="none"/>
        </w:rPr>
        <w:t>求。验收过程验收结果不符合合同约定的，应当通知供应商限期达到合同约定的要求。给采购单位造成损失的，供应商应当承担赔偿责任。验收符合采购要求的，验收主要负责人及相关入员在采购验收书上签署验收小组的验收意见。</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第六条 不可抗力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1、本合同所指不可抗力是指不能预见、不能避免并不能克服的客观情况，包括但不限于自然灾害、火灾、战争、罢工、动乱事件等。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2、在合同期内,如遇不可抗力致使一方在本合同项下的义务不能履行,则受不可抗力影响的一方可以中止履行其在本合同下的义务，但应及时给予另一方书面通知，说明有关情况。</w:t>
      </w:r>
    </w:p>
    <w:p>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3、因不可抗力影响导致本合同无法继续履行的，经甲、乙双方协商后据实</w:t>
      </w:r>
      <w:r>
        <w:rPr>
          <w:rFonts w:hint="eastAsia" w:ascii="宋体" w:hAnsi="宋体" w:eastAsia="宋体" w:cs="宋体"/>
          <w:color w:val="auto"/>
          <w:sz w:val="24"/>
          <w:highlight w:val="none"/>
          <w:lang w:eastAsia="zh-CN"/>
        </w:rPr>
        <w:t>结算。</w:t>
      </w:r>
    </w:p>
    <w:p>
      <w:pPr>
        <w:spacing w:line="360" w:lineRule="auto"/>
        <w:ind w:firstLine="482" w:firstLineChars="2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第七条</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lang w:eastAsia="zh-CN"/>
        </w:rPr>
        <w:t>其他</w:t>
      </w:r>
    </w:p>
    <w:p>
      <w:pPr>
        <w:pStyle w:val="2"/>
        <w:keepNext w:val="0"/>
        <w:keepLines w:val="0"/>
        <w:pageBreakBefore w:val="0"/>
        <w:widowControl/>
        <w:kinsoku/>
        <w:wordWrap/>
        <w:overflowPunct/>
        <w:topLinePunct w:val="0"/>
        <w:autoSpaceDE/>
        <w:autoSpaceDN/>
        <w:bidi w:val="0"/>
        <w:adjustRightInd/>
        <w:snapToGrid/>
        <w:spacing w:before="0" w:after="0" w:line="360" w:lineRule="auto"/>
        <w:ind w:firstLine="561"/>
        <w:textAlignment w:val="auto"/>
        <w:rPr>
          <w:rFonts w:hint="eastAsia" w:ascii="宋体" w:hAnsi="宋体" w:eastAsia="宋体" w:cs="宋体"/>
          <w:b w:val="0"/>
          <w:bCs w:val="0"/>
          <w:color w:val="auto"/>
          <w:kern w:val="2"/>
          <w:sz w:val="24"/>
          <w:szCs w:val="22"/>
          <w:highlight w:val="none"/>
          <w:lang w:val="en-US" w:eastAsia="zh-CN" w:bidi="ar-SA"/>
        </w:rPr>
      </w:pPr>
      <w:r>
        <w:rPr>
          <w:rFonts w:hint="eastAsia" w:ascii="宋体" w:hAnsi="宋体" w:eastAsia="宋体" w:cs="宋体"/>
          <w:b w:val="0"/>
          <w:bCs w:val="0"/>
          <w:color w:val="auto"/>
          <w:kern w:val="2"/>
          <w:sz w:val="24"/>
          <w:szCs w:val="22"/>
          <w:highlight w:val="none"/>
          <w:lang w:val="en-US" w:eastAsia="zh-CN" w:bidi="ar-SA"/>
        </w:rPr>
        <w:t>1.允许合同分包。</w:t>
      </w:r>
    </w:p>
    <w:p>
      <w:pPr>
        <w:pStyle w:val="2"/>
        <w:keepNext w:val="0"/>
        <w:keepLines w:val="0"/>
        <w:pageBreakBefore w:val="0"/>
        <w:widowControl/>
        <w:kinsoku/>
        <w:wordWrap/>
        <w:overflowPunct/>
        <w:topLinePunct w:val="0"/>
        <w:autoSpaceDE/>
        <w:autoSpaceDN/>
        <w:bidi w:val="0"/>
        <w:adjustRightInd/>
        <w:snapToGrid/>
        <w:spacing w:before="0" w:after="0" w:line="360" w:lineRule="auto"/>
        <w:ind w:firstLine="561"/>
        <w:textAlignment w:val="auto"/>
        <w:rPr>
          <w:rFonts w:hint="eastAsia" w:ascii="宋体" w:hAnsi="宋体" w:eastAsia="宋体" w:cs="宋体"/>
          <w:b w:val="0"/>
          <w:bCs w:val="0"/>
          <w:color w:val="auto"/>
          <w:kern w:val="2"/>
          <w:sz w:val="24"/>
          <w:szCs w:val="22"/>
          <w:highlight w:val="none"/>
          <w:lang w:val="en-US" w:eastAsia="zh-CN" w:bidi="ar-SA"/>
        </w:rPr>
      </w:pPr>
      <w:r>
        <w:rPr>
          <w:rFonts w:hint="eastAsia" w:ascii="宋体" w:hAnsi="宋体" w:eastAsia="宋体" w:cs="宋体"/>
          <w:b w:val="0"/>
          <w:bCs w:val="0"/>
          <w:color w:val="auto"/>
          <w:kern w:val="2"/>
          <w:sz w:val="24"/>
          <w:szCs w:val="22"/>
          <w:highlight w:val="none"/>
          <w:lang w:val="en-US" w:eastAsia="zh-CN" w:bidi="ar-SA"/>
        </w:rPr>
        <w:t>分包内容:直饮水系统维保。</w:t>
      </w:r>
    </w:p>
    <w:p>
      <w:pPr>
        <w:pStyle w:val="2"/>
        <w:keepNext w:val="0"/>
        <w:keepLines w:val="0"/>
        <w:pageBreakBefore w:val="0"/>
        <w:widowControl/>
        <w:kinsoku/>
        <w:wordWrap/>
        <w:overflowPunct/>
        <w:topLinePunct w:val="0"/>
        <w:autoSpaceDE/>
        <w:autoSpaceDN/>
        <w:bidi w:val="0"/>
        <w:adjustRightInd/>
        <w:snapToGrid/>
        <w:spacing w:before="0" w:after="0" w:line="360" w:lineRule="auto"/>
        <w:ind w:firstLine="561"/>
        <w:textAlignment w:val="auto"/>
        <w:rPr>
          <w:rFonts w:hint="eastAsia" w:ascii="宋体" w:hAnsi="宋体" w:eastAsia="宋体" w:cs="宋体"/>
          <w:b w:val="0"/>
          <w:bCs w:val="0"/>
          <w:color w:val="auto"/>
          <w:kern w:val="2"/>
          <w:sz w:val="24"/>
          <w:szCs w:val="22"/>
          <w:highlight w:val="none"/>
          <w:lang w:val="en-US" w:eastAsia="zh-CN" w:bidi="ar-SA"/>
        </w:rPr>
      </w:pPr>
      <w:r>
        <w:rPr>
          <w:rFonts w:hint="eastAsia" w:ascii="宋体" w:hAnsi="宋体" w:eastAsia="宋体" w:cs="宋体"/>
          <w:b w:val="0"/>
          <w:bCs w:val="0"/>
          <w:color w:val="auto"/>
          <w:kern w:val="2"/>
          <w:sz w:val="24"/>
          <w:szCs w:val="22"/>
          <w:highlight w:val="none"/>
          <w:lang w:val="en-US" w:eastAsia="zh-CN" w:bidi="ar-SA"/>
        </w:rPr>
        <w:t>若承包人不具备上述允许分包工程相应资质的，应由具有分包工程项目相应资质的专业单位进行实施，其分包人须事先报甲方审核批准，且承包人仍应直接向甲方负责，承担连带责任。资质要求:持有涉水产品卫生许可批件，或设备生产厂家出具的授权书及售后服务承诺书;分包单位须经甲方书面确认，并在响应文件中附分包协议及资质证明。</w:t>
      </w:r>
    </w:p>
    <w:p>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、合同执行中若发生争议，甲、乙双方应友好协商解决，协商不成的，任何一方有权向甲方所在地人民法院提起诉讼。</w:t>
      </w:r>
    </w:p>
    <w:p>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、本合同未尽事宜，双方可另行签订补充协议，补充协议与本合同具有同等法律效力。</w:t>
      </w:r>
    </w:p>
    <w:p>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、本合同一式肆份，甲方执贰份，乙方执贰份，均具有同等法律效力。本合同自双方代表签字盖章后生效。</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甲  方</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（盖章）</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成交供应商全称</w:t>
            </w:r>
          </w:p>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vMerge w:val="restart"/>
            <w:tcBorders>
              <w:top w:val="single" w:color="auto" w:sz="4" w:space="0"/>
              <w:left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全权代表：（签字）</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lang w:eastAsia="zh-CN"/>
              </w:rPr>
              <w:t>法定代表人（负责人）</w:t>
            </w:r>
            <w:r>
              <w:rPr>
                <w:rFonts w:hint="eastAsia" w:ascii="宋体" w:hAnsi="宋体" w:eastAsia="宋体" w:cs="宋体"/>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vMerge w:val="continue"/>
            <w:tcBorders>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被授权代表：（签字）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tc>
        <w:tc>
          <w:tcPr>
            <w:tcW w:w="44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tc>
      </w:tr>
    </w:tbl>
    <w:p>
      <w:pPr>
        <w:snapToGrid w:val="0"/>
        <w:spacing w:line="370" w:lineRule="exact"/>
        <w:rPr>
          <w:rFonts w:hint="eastAsia" w:ascii="宋体" w:hAnsi="宋体" w:cs="宋体"/>
          <w:b/>
          <w:bCs/>
          <w:color w:val="auto"/>
          <w:sz w:val="24"/>
          <w:highlight w:val="none"/>
        </w:rPr>
      </w:pPr>
      <w:r>
        <w:rPr>
          <w:rFonts w:hint="eastAsia" w:ascii="宋体" w:hAnsi="宋体" w:cs="宋体"/>
          <w:b/>
          <w:bCs/>
          <w:color w:val="auto"/>
          <w:sz w:val="24"/>
          <w:highlight w:val="none"/>
        </w:rPr>
        <w:t>附件1</w:t>
      </w:r>
    </w:p>
    <w:p>
      <w:pPr>
        <w:snapToGrid w:val="0"/>
        <w:spacing w:line="370" w:lineRule="exact"/>
        <w:jc w:val="center"/>
        <w:rPr>
          <w:rFonts w:hint="eastAsia" w:ascii="宋体" w:hAnsi="宋体" w:cs="宋体"/>
          <w:color w:val="auto"/>
          <w:sz w:val="24"/>
          <w:highlight w:val="none"/>
        </w:rPr>
      </w:pPr>
      <w:r>
        <w:rPr>
          <w:rFonts w:hint="eastAsia" w:ascii="宋体" w:hAnsi="宋体" w:cs="宋体"/>
          <w:b/>
          <w:color w:val="auto"/>
          <w:sz w:val="28"/>
          <w:szCs w:val="28"/>
          <w:highlight w:val="none"/>
        </w:rPr>
        <w:t>服务考核标准</w:t>
      </w:r>
    </w:p>
    <w:tbl>
      <w:tblPr>
        <w:tblStyle w:val="5"/>
        <w:tblW w:w="9303" w:type="dxa"/>
        <w:tblInd w:w="0" w:type="dxa"/>
        <w:tblLayout w:type="fixed"/>
        <w:tblCellMar>
          <w:top w:w="0" w:type="dxa"/>
          <w:left w:w="10" w:type="dxa"/>
          <w:bottom w:w="0" w:type="dxa"/>
          <w:right w:w="10" w:type="dxa"/>
        </w:tblCellMar>
      </w:tblPr>
      <w:tblGrid>
        <w:gridCol w:w="1407"/>
        <w:gridCol w:w="4857"/>
        <w:gridCol w:w="1433"/>
        <w:gridCol w:w="850"/>
        <w:gridCol w:w="756"/>
      </w:tblGrid>
      <w:tr>
        <w:tblPrEx>
          <w:tblCellMar>
            <w:top w:w="0" w:type="dxa"/>
            <w:left w:w="10" w:type="dxa"/>
            <w:bottom w:w="0" w:type="dxa"/>
            <w:right w:w="10" w:type="dxa"/>
          </w:tblCellMar>
        </w:tblPrEx>
        <w:trPr>
          <w:trHeight w:val="567" w:hRule="atLeast"/>
        </w:trPr>
        <w:tc>
          <w:tcPr>
            <w:tcW w:w="1407"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考核项目</w:t>
            </w:r>
          </w:p>
        </w:tc>
        <w:tc>
          <w:tcPr>
            <w:tcW w:w="4857"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考核内容</w:t>
            </w:r>
          </w:p>
        </w:tc>
        <w:tc>
          <w:tcPr>
            <w:tcW w:w="1433"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考核方式</w:t>
            </w:r>
          </w:p>
        </w:tc>
        <w:tc>
          <w:tcPr>
            <w:tcW w:w="85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考核</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得分</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考核人</w:t>
            </w:r>
          </w:p>
        </w:tc>
      </w:tr>
      <w:tr>
        <w:tblPrEx>
          <w:tblCellMar>
            <w:top w:w="0" w:type="dxa"/>
            <w:left w:w="10" w:type="dxa"/>
            <w:bottom w:w="0" w:type="dxa"/>
            <w:right w:w="10" w:type="dxa"/>
          </w:tblCellMar>
        </w:tblPrEx>
        <w:trPr>
          <w:trHeight w:val="567" w:hRule="atLeast"/>
        </w:trPr>
        <w:tc>
          <w:tcPr>
            <w:tcW w:w="1407" w:type="dxa"/>
            <w:vMerge w:val="restart"/>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行玫管理</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（15 分）</w:t>
            </w:r>
          </w:p>
        </w:tc>
        <w:tc>
          <w:tcPr>
            <w:tcW w:w="4857"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1.服从并配合甲方合情、合理、合法的管理，执行甲方下达的各项接待及检查、检测任务；（2分）</w:t>
            </w:r>
          </w:p>
        </w:tc>
        <w:tc>
          <w:tcPr>
            <w:tcW w:w="1433"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现场检查、调查</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2.关注甲方及监察部门的各项政策、信息，并及时汇报；（3分）</w:t>
            </w:r>
          </w:p>
        </w:tc>
        <w:tc>
          <w:tcPr>
            <w:tcW w:w="1433"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杪查、提问、调查</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bottom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3.真实上报</w:t>
            </w:r>
            <w:r>
              <w:rPr>
                <w:rFonts w:hint="eastAsia" w:ascii="宋体" w:hAnsi="宋体" w:cs="宋体"/>
                <w:color w:val="auto"/>
                <w:kern w:val="0"/>
                <w:sz w:val="24"/>
                <w:szCs w:val="24"/>
                <w:highlight w:val="none"/>
                <w:lang w:val="en-US" w:eastAsia="zh-CN" w:bidi="zh-TW"/>
              </w:rPr>
              <w:t>馆内</w:t>
            </w:r>
            <w:r>
              <w:rPr>
                <w:rFonts w:hint="eastAsia" w:ascii="宋体" w:hAnsi="宋体" w:eastAsia="宋体" w:cs="宋体"/>
                <w:color w:val="auto"/>
                <w:kern w:val="0"/>
                <w:sz w:val="24"/>
                <w:szCs w:val="24"/>
                <w:highlight w:val="none"/>
                <w:lang w:val="en-US" w:eastAsia="zh-CN" w:bidi="zh-TW"/>
              </w:rPr>
              <w:t>存在问题并有效解决，不瞒报，谎报，漏报； （10分）</w:t>
            </w:r>
          </w:p>
        </w:tc>
        <w:tc>
          <w:tcPr>
            <w:tcW w:w="1433"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现场查看、提问</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生产管理 （25 分）</w:t>
            </w: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4.岗位人员应详细掌握本岗位生产、设备、行政管理应知应会内容、熟知本岗位的岗位职责；（4分）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检查、提问、调查</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5.</w:t>
            </w:r>
            <w:r>
              <w:rPr>
                <w:rFonts w:hint="eastAsia" w:ascii="宋体" w:hAnsi="宋体" w:cs="宋体"/>
                <w:color w:val="auto"/>
                <w:kern w:val="0"/>
                <w:sz w:val="24"/>
                <w:szCs w:val="24"/>
                <w:highlight w:val="none"/>
                <w:lang w:val="en-US" w:eastAsia="zh-CN" w:bidi="zh-TW"/>
              </w:rPr>
              <w:t>电梯维保</w:t>
            </w:r>
            <w:r>
              <w:rPr>
                <w:rFonts w:hint="eastAsia" w:ascii="宋体" w:hAnsi="宋体" w:eastAsia="宋体" w:cs="宋体"/>
                <w:color w:val="auto"/>
                <w:kern w:val="0"/>
                <w:sz w:val="24"/>
                <w:szCs w:val="24"/>
                <w:highlight w:val="none"/>
                <w:lang w:val="en-US" w:eastAsia="zh-CN" w:bidi="zh-TW"/>
              </w:rPr>
              <w:t>及</w:t>
            </w:r>
            <w:r>
              <w:rPr>
                <w:rFonts w:hint="eastAsia" w:ascii="宋体" w:hAnsi="宋体" w:cs="宋体"/>
                <w:color w:val="auto"/>
                <w:kern w:val="0"/>
                <w:sz w:val="24"/>
                <w:szCs w:val="24"/>
                <w:highlight w:val="none"/>
                <w:lang w:val="en-US" w:eastAsia="zh-CN" w:bidi="zh-TW"/>
              </w:rPr>
              <w:t>电力设施</w:t>
            </w:r>
            <w:r>
              <w:rPr>
                <w:rFonts w:hint="eastAsia" w:ascii="宋体" w:hAnsi="宋体" w:eastAsia="宋体" w:cs="宋体"/>
                <w:color w:val="auto"/>
                <w:kern w:val="0"/>
                <w:sz w:val="24"/>
                <w:szCs w:val="24"/>
                <w:highlight w:val="none"/>
                <w:lang w:val="en-US" w:eastAsia="zh-CN" w:bidi="zh-TW"/>
              </w:rPr>
              <w:t>维修人员持证上岗，动火、临时用电等作业须提前办理审批手续，电工具备电工证；（3分）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登记、备案</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6.完善并及时改进</w:t>
            </w:r>
            <w:r>
              <w:rPr>
                <w:rFonts w:hint="eastAsia" w:ascii="宋体" w:hAnsi="宋体" w:cs="宋体"/>
                <w:color w:val="auto"/>
                <w:kern w:val="0"/>
                <w:sz w:val="24"/>
                <w:szCs w:val="24"/>
                <w:highlight w:val="none"/>
                <w:lang w:val="en-US" w:eastAsia="zh-CN" w:bidi="zh-TW"/>
              </w:rPr>
              <w:t>馆内</w:t>
            </w:r>
            <w:r>
              <w:rPr>
                <w:rFonts w:hint="eastAsia" w:ascii="宋体" w:hAnsi="宋体" w:eastAsia="宋体" w:cs="宋体"/>
                <w:color w:val="auto"/>
                <w:kern w:val="0"/>
                <w:sz w:val="24"/>
                <w:szCs w:val="24"/>
                <w:highlight w:val="none"/>
                <w:lang w:val="en-US" w:eastAsia="zh-CN" w:bidi="zh-TW"/>
              </w:rPr>
              <w:t>各种管理台账，工作记录，并合理储存；确保各种工作汇报内容真实、详细、及时，不得敷衍了事或者弄虚作假（3分）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检查、调查</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7.制订并完善更新管理制度及突发事件紧急处理预案，值班室各项规章制度上墙，各种警示标识张贴，各设备操作规程上墙；（3分）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现场观察、调查</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8.电梯、配电柜、发电机：每月至少一次常规巡检，每季度一次全面保养。（3分）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检查、调查、提问</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en-US" w:eastAsia="en-US" w:bidi="zh-TW"/>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en-US" w:eastAsia="zh-CN" w:bidi="zh-TW"/>
              </w:rPr>
            </w:pPr>
            <w:r>
              <w:rPr>
                <w:rFonts w:hint="eastAsia" w:ascii="宋体" w:hAnsi="宋体" w:cs="宋体"/>
                <w:color w:val="auto"/>
                <w:kern w:val="0"/>
                <w:sz w:val="24"/>
                <w:szCs w:val="24"/>
                <w:highlight w:val="none"/>
                <w:lang w:val="en-US" w:eastAsia="zh-CN" w:bidi="zh-TW"/>
              </w:rPr>
              <w:t>9.</w:t>
            </w:r>
            <w:r>
              <w:rPr>
                <w:rFonts w:hint="eastAsia" w:ascii="宋体" w:hAnsi="宋体" w:eastAsia="宋体" w:cs="宋体"/>
                <w:color w:val="auto"/>
                <w:kern w:val="0"/>
                <w:sz w:val="24"/>
                <w:szCs w:val="24"/>
                <w:highlight w:val="none"/>
                <w:lang w:val="en-US" w:eastAsia="zh-CN" w:bidi="zh-TW"/>
              </w:rPr>
              <w:t>中央空调：换季开机前全面检查，运行期间每月巡检，每年至少两次深度清洗保养。（3分）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en-US" w:eastAsia="zh-CN" w:bidi="zh-TW"/>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en-US" w:eastAsia="en-US" w:bidi="zh-TW"/>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en-US" w:eastAsia="zh-CN" w:bidi="zh-TW"/>
              </w:rPr>
            </w:pPr>
            <w:r>
              <w:rPr>
                <w:rFonts w:hint="eastAsia" w:ascii="宋体" w:hAnsi="宋体" w:cs="宋体"/>
                <w:color w:val="auto"/>
                <w:kern w:val="0"/>
                <w:sz w:val="24"/>
                <w:szCs w:val="24"/>
                <w:highlight w:val="none"/>
                <w:lang w:val="en-US" w:eastAsia="zh-CN" w:bidi="zh-TW"/>
              </w:rPr>
              <w:t>10.</w:t>
            </w:r>
            <w:r>
              <w:rPr>
                <w:rFonts w:hint="eastAsia" w:ascii="宋体" w:hAnsi="宋体" w:eastAsia="宋体" w:cs="宋体"/>
                <w:color w:val="auto"/>
                <w:kern w:val="0"/>
                <w:sz w:val="24"/>
                <w:szCs w:val="24"/>
                <w:highlight w:val="none"/>
                <w:lang w:val="en-US" w:eastAsia="zh-CN" w:bidi="zh-TW"/>
              </w:rPr>
              <w:t>直饮水系统：每月巡检，每季度更换滤芯并出具水质检测报告。（3分）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en-US" w:eastAsia="zh-CN" w:bidi="zh-TW"/>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en-US" w:eastAsia="en-US" w:bidi="zh-TW"/>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en-US" w:eastAsia="zh-CN" w:bidi="zh-TW"/>
              </w:rPr>
            </w:pPr>
            <w:r>
              <w:rPr>
                <w:rFonts w:hint="eastAsia" w:ascii="宋体" w:hAnsi="宋体" w:cs="宋体"/>
                <w:color w:val="auto"/>
                <w:kern w:val="0"/>
                <w:sz w:val="24"/>
                <w:szCs w:val="24"/>
                <w:highlight w:val="none"/>
                <w:lang w:val="en-US" w:eastAsia="zh-CN" w:bidi="zh-TW"/>
              </w:rPr>
              <w:t>11.</w:t>
            </w:r>
            <w:r>
              <w:rPr>
                <w:rFonts w:hint="eastAsia" w:ascii="宋体" w:hAnsi="宋体" w:eastAsia="宋体" w:cs="宋体"/>
                <w:color w:val="auto"/>
                <w:kern w:val="0"/>
                <w:sz w:val="24"/>
                <w:szCs w:val="24"/>
                <w:highlight w:val="none"/>
                <w:lang w:val="en-US" w:eastAsia="zh-CN" w:bidi="zh-TW"/>
              </w:rPr>
              <w:t>分体空调：按需维修，每年4月前完成全部机组的清洗、加氟及运行测试。（3分）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en-US" w:eastAsia="zh-CN" w:bidi="zh-TW"/>
              </w:rPr>
            </w:pP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en-US" w:eastAsia="en-US" w:bidi="zh-TW"/>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restart"/>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环境管理 （1</w:t>
            </w:r>
            <w:r>
              <w:rPr>
                <w:rFonts w:hint="eastAsia" w:ascii="宋体" w:hAnsi="宋体" w:eastAsia="宋体" w:cs="宋体"/>
                <w:color w:val="auto"/>
                <w:kern w:val="0"/>
                <w:sz w:val="24"/>
                <w:szCs w:val="24"/>
                <w:highlight w:val="none"/>
                <w:lang w:val="en-US" w:eastAsia="zh-CN" w:bidi="zh-TW"/>
              </w:rPr>
              <w:t>0</w:t>
            </w:r>
            <w:r>
              <w:rPr>
                <w:rFonts w:hint="eastAsia" w:ascii="宋体" w:hAnsi="宋体" w:eastAsia="宋体" w:cs="宋体"/>
                <w:color w:val="auto"/>
                <w:kern w:val="0"/>
                <w:sz w:val="24"/>
                <w:szCs w:val="24"/>
                <w:highlight w:val="none"/>
                <w:lang w:val="zh-TW" w:eastAsia="zh-TW" w:bidi="zh-TW"/>
              </w:rPr>
              <w:t>分）</w:t>
            </w:r>
          </w:p>
        </w:tc>
        <w:tc>
          <w:tcPr>
            <w:tcW w:w="4857"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cs="宋体"/>
                <w:color w:val="auto"/>
                <w:kern w:val="0"/>
                <w:sz w:val="24"/>
                <w:szCs w:val="24"/>
                <w:highlight w:val="none"/>
                <w:lang w:val="en-US" w:eastAsia="zh-CN" w:bidi="zh-TW"/>
              </w:rPr>
              <w:t>12</w:t>
            </w:r>
            <w:r>
              <w:rPr>
                <w:rFonts w:hint="eastAsia" w:ascii="宋体" w:hAnsi="宋体" w:eastAsia="宋体" w:cs="宋体"/>
                <w:color w:val="auto"/>
                <w:kern w:val="0"/>
                <w:sz w:val="24"/>
                <w:szCs w:val="24"/>
                <w:highlight w:val="none"/>
                <w:lang w:val="en-US" w:eastAsia="zh-CN" w:bidi="zh-TW"/>
              </w:rPr>
              <w:t>.确保</w:t>
            </w:r>
            <w:r>
              <w:rPr>
                <w:rFonts w:hint="eastAsia" w:ascii="宋体" w:hAnsi="宋体" w:cs="宋体"/>
                <w:color w:val="auto"/>
                <w:kern w:val="0"/>
                <w:sz w:val="24"/>
                <w:szCs w:val="24"/>
                <w:highlight w:val="none"/>
                <w:lang w:val="en-US" w:eastAsia="zh-CN" w:bidi="zh-TW"/>
              </w:rPr>
              <w:t>场馆</w:t>
            </w:r>
            <w:r>
              <w:rPr>
                <w:rFonts w:hint="eastAsia" w:ascii="宋体" w:hAnsi="宋体" w:eastAsia="宋体" w:cs="宋体"/>
                <w:color w:val="auto"/>
                <w:kern w:val="0"/>
                <w:sz w:val="24"/>
                <w:szCs w:val="24"/>
                <w:highlight w:val="none"/>
                <w:lang w:val="en-US" w:eastAsia="zh-CN" w:bidi="zh-TW"/>
              </w:rPr>
              <w:t>内部环境干净整洁，服从甲方整体管理，生活垃圾放入固定存放点。按时打扫设备间，不堆放杂物等物品。（3 分）</w:t>
            </w:r>
          </w:p>
        </w:tc>
        <w:tc>
          <w:tcPr>
            <w:tcW w:w="1433"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现场检查</w:t>
            </w:r>
          </w:p>
        </w:tc>
        <w:tc>
          <w:tcPr>
            <w:tcW w:w="850"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top w:val="single" w:color="auto" w:sz="4" w:space="0"/>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1</w:t>
            </w:r>
            <w:r>
              <w:rPr>
                <w:rFonts w:hint="eastAsia" w:ascii="宋体" w:hAnsi="宋体" w:cs="宋体"/>
                <w:color w:val="auto"/>
                <w:kern w:val="0"/>
                <w:sz w:val="24"/>
                <w:szCs w:val="24"/>
                <w:highlight w:val="none"/>
                <w:lang w:val="en-US" w:eastAsia="zh-CN" w:bidi="zh-TW"/>
              </w:rPr>
              <w:t>3</w:t>
            </w:r>
            <w:r>
              <w:rPr>
                <w:rFonts w:hint="eastAsia" w:ascii="宋体" w:hAnsi="宋体" w:eastAsia="宋体" w:cs="宋体"/>
                <w:color w:val="auto"/>
                <w:kern w:val="0"/>
                <w:sz w:val="24"/>
                <w:szCs w:val="24"/>
                <w:highlight w:val="none"/>
                <w:lang w:val="en-US" w:eastAsia="zh-CN" w:bidi="zh-TW"/>
              </w:rPr>
              <w:t>.</w:t>
            </w:r>
            <w:r>
              <w:rPr>
                <w:rFonts w:hint="eastAsia" w:ascii="宋体" w:hAnsi="宋体" w:cs="宋体"/>
                <w:color w:val="auto"/>
                <w:kern w:val="0"/>
                <w:sz w:val="24"/>
                <w:szCs w:val="24"/>
                <w:highlight w:val="none"/>
                <w:lang w:val="en-US" w:eastAsia="zh-CN" w:bidi="zh-TW"/>
              </w:rPr>
              <w:t>馆</w:t>
            </w:r>
            <w:r>
              <w:rPr>
                <w:rFonts w:hint="eastAsia" w:ascii="宋体" w:hAnsi="宋体" w:eastAsia="宋体" w:cs="宋体"/>
                <w:color w:val="auto"/>
                <w:kern w:val="0"/>
                <w:sz w:val="24"/>
                <w:szCs w:val="24"/>
                <w:highlight w:val="none"/>
                <w:lang w:val="en-US" w:eastAsia="zh-CN" w:bidi="zh-TW"/>
              </w:rPr>
              <w:t>内废弃物品及更换设备不随意堆放，产生的废旧物品定时清理；（7分）</w:t>
            </w:r>
          </w:p>
        </w:tc>
        <w:tc>
          <w:tcPr>
            <w:tcW w:w="1433"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现场查看</w:t>
            </w:r>
          </w:p>
        </w:tc>
        <w:tc>
          <w:tcPr>
            <w:tcW w:w="850"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restart"/>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160"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设备管理 （15 分）</w:t>
            </w:r>
          </w:p>
        </w:tc>
        <w:tc>
          <w:tcPr>
            <w:tcW w:w="4857"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1</w:t>
            </w:r>
            <w:r>
              <w:rPr>
                <w:rFonts w:hint="eastAsia" w:ascii="宋体" w:hAnsi="宋体" w:cs="宋体"/>
                <w:color w:val="auto"/>
                <w:kern w:val="0"/>
                <w:sz w:val="24"/>
                <w:szCs w:val="24"/>
                <w:highlight w:val="none"/>
                <w:lang w:val="en-US" w:eastAsia="zh-CN" w:bidi="zh-TW"/>
              </w:rPr>
              <w:t>4</w:t>
            </w:r>
            <w:r>
              <w:rPr>
                <w:rFonts w:hint="eastAsia" w:ascii="宋体" w:hAnsi="宋体" w:eastAsia="宋体" w:cs="宋体"/>
                <w:color w:val="auto"/>
                <w:kern w:val="0"/>
                <w:sz w:val="24"/>
                <w:szCs w:val="24"/>
                <w:highlight w:val="none"/>
                <w:lang w:val="en-US" w:eastAsia="zh-CN" w:bidi="zh-TW"/>
              </w:rPr>
              <w:t>.环保设施正常运行，对存在的安全隐患需要维修设备积极落实，尽快维修更换；（5分）</w:t>
            </w:r>
          </w:p>
        </w:tc>
        <w:tc>
          <w:tcPr>
            <w:tcW w:w="1433"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查看记录、现场查看</w:t>
            </w:r>
          </w:p>
        </w:tc>
        <w:tc>
          <w:tcPr>
            <w:tcW w:w="850"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1</w:t>
            </w:r>
            <w:r>
              <w:rPr>
                <w:rFonts w:hint="eastAsia" w:ascii="宋体" w:hAnsi="宋体" w:cs="宋体"/>
                <w:color w:val="auto"/>
                <w:kern w:val="0"/>
                <w:sz w:val="24"/>
                <w:szCs w:val="24"/>
                <w:highlight w:val="none"/>
                <w:lang w:val="en-US" w:eastAsia="zh-CN" w:bidi="zh-TW"/>
              </w:rPr>
              <w:t>5</w:t>
            </w:r>
            <w:r>
              <w:rPr>
                <w:rFonts w:hint="eastAsia" w:ascii="宋体" w:hAnsi="宋体" w:eastAsia="宋体" w:cs="宋体"/>
                <w:color w:val="auto"/>
                <w:kern w:val="0"/>
                <w:sz w:val="24"/>
                <w:szCs w:val="24"/>
                <w:highlight w:val="none"/>
                <w:lang w:val="en-US" w:eastAsia="zh-CN" w:bidi="zh-TW"/>
              </w:rPr>
              <w:t>.定时对设备进行保养维护，确保设备使用寿命；（5分）</w:t>
            </w:r>
          </w:p>
        </w:tc>
        <w:tc>
          <w:tcPr>
            <w:tcW w:w="1433"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查看记录、现场查看</w:t>
            </w:r>
          </w:p>
        </w:tc>
        <w:tc>
          <w:tcPr>
            <w:tcW w:w="850"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1</w:t>
            </w:r>
            <w:r>
              <w:rPr>
                <w:rFonts w:hint="eastAsia" w:ascii="宋体" w:hAnsi="宋体" w:cs="宋体"/>
                <w:color w:val="auto"/>
                <w:kern w:val="0"/>
                <w:sz w:val="24"/>
                <w:szCs w:val="24"/>
                <w:highlight w:val="none"/>
                <w:lang w:val="en-US" w:eastAsia="zh-CN" w:bidi="zh-TW"/>
              </w:rPr>
              <w:t>6.</w:t>
            </w:r>
            <w:r>
              <w:rPr>
                <w:rFonts w:hint="eastAsia" w:ascii="宋体" w:hAnsi="宋体" w:eastAsia="宋体" w:cs="宋体"/>
                <w:color w:val="auto"/>
                <w:kern w:val="0"/>
                <w:sz w:val="24"/>
                <w:szCs w:val="24"/>
                <w:highlight w:val="none"/>
                <w:lang w:val="en-US" w:eastAsia="zh-CN" w:bidi="zh-TW"/>
              </w:rPr>
              <w:t>每年提供高低压配电柜的预防性试验及继电保护校验报告；（5分）</w:t>
            </w:r>
          </w:p>
        </w:tc>
        <w:tc>
          <w:tcPr>
            <w:tcW w:w="1433"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现场检查</w:t>
            </w:r>
          </w:p>
        </w:tc>
        <w:tc>
          <w:tcPr>
            <w:tcW w:w="850"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restart"/>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安全管理 （15 分）</w:t>
            </w:r>
          </w:p>
        </w:tc>
        <w:tc>
          <w:tcPr>
            <w:tcW w:w="4857"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1</w:t>
            </w:r>
            <w:r>
              <w:rPr>
                <w:rFonts w:hint="eastAsia" w:ascii="宋体" w:hAnsi="宋体" w:cs="宋体"/>
                <w:color w:val="auto"/>
                <w:kern w:val="0"/>
                <w:sz w:val="24"/>
                <w:szCs w:val="24"/>
                <w:highlight w:val="none"/>
                <w:lang w:val="en-US" w:eastAsia="zh-CN" w:bidi="zh-TW"/>
              </w:rPr>
              <w:t>7</w:t>
            </w:r>
            <w:r>
              <w:rPr>
                <w:rFonts w:hint="eastAsia" w:ascii="宋体" w:hAnsi="宋体" w:eastAsia="宋体" w:cs="宋体"/>
                <w:color w:val="auto"/>
                <w:kern w:val="0"/>
                <w:sz w:val="24"/>
                <w:szCs w:val="24"/>
                <w:highlight w:val="none"/>
                <w:lang w:val="en-US" w:eastAsia="zh-CN" w:bidi="zh-TW"/>
              </w:rPr>
              <w:t>每年对发电机进行负载测试及蓄电池检测；（6分）</w:t>
            </w:r>
          </w:p>
        </w:tc>
        <w:tc>
          <w:tcPr>
            <w:tcW w:w="1433"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检查现场、记录</w:t>
            </w:r>
          </w:p>
        </w:tc>
        <w:tc>
          <w:tcPr>
            <w:tcW w:w="850" w:type="dxa"/>
            <w:tcBorders>
              <w:top w:val="single" w:color="auto" w:sz="4" w:space="0"/>
              <w:lef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left w:val="single" w:color="auto" w:sz="4" w:space="0"/>
              <w:bottom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1</w:t>
            </w:r>
            <w:r>
              <w:rPr>
                <w:rFonts w:hint="eastAsia" w:ascii="宋体" w:hAnsi="宋体" w:cs="宋体"/>
                <w:color w:val="auto"/>
                <w:kern w:val="0"/>
                <w:sz w:val="24"/>
                <w:szCs w:val="24"/>
                <w:highlight w:val="none"/>
                <w:lang w:val="en-US" w:eastAsia="zh-CN" w:bidi="zh-TW"/>
              </w:rPr>
              <w:t>8</w:t>
            </w:r>
            <w:r>
              <w:rPr>
                <w:rFonts w:hint="eastAsia" w:ascii="宋体" w:hAnsi="宋体" w:eastAsia="宋体" w:cs="宋体"/>
                <w:color w:val="auto"/>
                <w:kern w:val="0"/>
                <w:sz w:val="24"/>
                <w:szCs w:val="24"/>
                <w:highlight w:val="none"/>
                <w:lang w:val="en-US" w:eastAsia="zh-CN" w:bidi="zh-TW"/>
              </w:rPr>
              <w:t>.无环境污染事故，未受到环保通报批评和要求整改等问题；（5分）</w:t>
            </w:r>
          </w:p>
        </w:tc>
        <w:tc>
          <w:tcPr>
            <w:tcW w:w="1433"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调查</w:t>
            </w:r>
          </w:p>
        </w:tc>
        <w:tc>
          <w:tcPr>
            <w:tcW w:w="850" w:type="dxa"/>
            <w:tcBorders>
              <w:top w:val="single" w:color="auto" w:sz="4" w:space="0"/>
              <w:left w:val="single" w:color="auto" w:sz="4" w:space="0"/>
              <w:bottom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cs="宋体"/>
                <w:color w:val="auto"/>
                <w:kern w:val="0"/>
                <w:sz w:val="24"/>
                <w:szCs w:val="24"/>
                <w:highlight w:val="none"/>
                <w:lang w:val="en-US" w:eastAsia="zh-CN" w:bidi="zh-TW"/>
              </w:rPr>
              <w:t>19</w:t>
            </w:r>
            <w:r>
              <w:rPr>
                <w:rFonts w:hint="eastAsia" w:ascii="宋体" w:hAnsi="宋体" w:eastAsia="宋体" w:cs="宋体"/>
                <w:color w:val="auto"/>
                <w:kern w:val="0"/>
                <w:sz w:val="24"/>
                <w:szCs w:val="24"/>
                <w:highlight w:val="none"/>
                <w:lang w:val="en-US" w:eastAsia="zh-CN" w:bidi="zh-TW"/>
              </w:rPr>
              <w:t>.设备间配备灭火器，无火灾隐患，人员劳保防护用品配备齐全；（4分）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调查、检查</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人员管理 （</w:t>
            </w:r>
            <w:r>
              <w:rPr>
                <w:rFonts w:hint="eastAsia" w:ascii="宋体" w:hAnsi="宋体" w:eastAsia="宋体" w:cs="宋体"/>
                <w:color w:val="auto"/>
                <w:kern w:val="0"/>
                <w:sz w:val="24"/>
                <w:szCs w:val="24"/>
                <w:highlight w:val="none"/>
                <w:lang w:val="en-US" w:eastAsia="zh-CN" w:bidi="zh-TW"/>
              </w:rPr>
              <w:t>20</w:t>
            </w:r>
            <w:r>
              <w:rPr>
                <w:rFonts w:hint="eastAsia" w:ascii="宋体" w:hAnsi="宋体" w:eastAsia="宋体" w:cs="宋体"/>
                <w:color w:val="auto"/>
                <w:kern w:val="0"/>
                <w:sz w:val="24"/>
                <w:szCs w:val="24"/>
                <w:highlight w:val="none"/>
                <w:lang w:val="zh-TW" w:eastAsia="zh-TW" w:bidi="zh-TW"/>
              </w:rPr>
              <w:t xml:space="preserve"> 分）</w:t>
            </w: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cs="宋体"/>
                <w:color w:val="auto"/>
                <w:kern w:val="0"/>
                <w:sz w:val="24"/>
                <w:szCs w:val="24"/>
                <w:highlight w:val="none"/>
                <w:lang w:val="en-US" w:eastAsia="zh-CN" w:bidi="zh-TW"/>
              </w:rPr>
              <w:t>20</w:t>
            </w:r>
            <w:r>
              <w:rPr>
                <w:rFonts w:hint="eastAsia" w:ascii="宋体" w:hAnsi="宋体" w:eastAsia="宋体" w:cs="宋体"/>
                <w:color w:val="auto"/>
                <w:kern w:val="0"/>
                <w:sz w:val="24"/>
                <w:szCs w:val="24"/>
                <w:highlight w:val="none"/>
                <w:lang w:val="en-US" w:eastAsia="zh-CN" w:bidi="zh-TW"/>
              </w:rPr>
              <w:t>.按规定穿着工作服、佩戴工作卡，保持工作服整洁、工作卡完好；（5分）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观察、调查</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cs="宋体"/>
                <w:color w:val="auto"/>
                <w:kern w:val="0"/>
                <w:sz w:val="24"/>
                <w:szCs w:val="24"/>
                <w:highlight w:val="none"/>
                <w:lang w:val="en-US" w:eastAsia="zh-CN" w:bidi="zh-TW"/>
              </w:rPr>
              <w:t>21</w:t>
            </w:r>
            <w:r>
              <w:rPr>
                <w:rFonts w:hint="eastAsia" w:ascii="宋体" w:hAnsi="宋体" w:eastAsia="宋体" w:cs="宋体"/>
                <w:color w:val="auto"/>
                <w:kern w:val="0"/>
                <w:sz w:val="24"/>
                <w:szCs w:val="24"/>
                <w:highlight w:val="none"/>
                <w:lang w:val="en-US" w:eastAsia="zh-CN" w:bidi="zh-TW"/>
              </w:rPr>
              <w:t>.检查无工作时串岗、睡岗等行为；严格落实甲方管理，严禁站内吸烟、酗酒、打架、斗殴。（10分）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en-US" w:eastAsia="zh-CN" w:bidi="zh-TW"/>
              </w:rPr>
              <w:t>现场检查、调查</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r>
        <w:tblPrEx>
          <w:tblCellMar>
            <w:top w:w="0" w:type="dxa"/>
            <w:left w:w="10" w:type="dxa"/>
            <w:bottom w:w="0" w:type="dxa"/>
            <w:right w:w="10" w:type="dxa"/>
          </w:tblCellMar>
        </w:tblPrEx>
        <w:trPr>
          <w:trHeight w:val="567" w:hRule="atLeast"/>
        </w:trPr>
        <w:tc>
          <w:tcPr>
            <w:tcW w:w="140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4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left"/>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bidi="en-US"/>
              </w:rPr>
              <w:t>2</w:t>
            </w:r>
            <w:r>
              <w:rPr>
                <w:rFonts w:hint="eastAsia" w:ascii="宋体" w:hAnsi="宋体" w:cs="宋体"/>
                <w:color w:val="auto"/>
                <w:kern w:val="0"/>
                <w:sz w:val="24"/>
                <w:szCs w:val="24"/>
                <w:highlight w:val="none"/>
                <w:lang w:val="en-US" w:eastAsia="zh-CN" w:bidi="en-US"/>
              </w:rPr>
              <w:t>2</w:t>
            </w:r>
            <w:r>
              <w:rPr>
                <w:rFonts w:hint="eastAsia" w:ascii="宋体" w:hAnsi="宋体" w:eastAsia="宋体" w:cs="宋体"/>
                <w:color w:val="auto"/>
                <w:kern w:val="0"/>
                <w:sz w:val="24"/>
                <w:szCs w:val="24"/>
                <w:highlight w:val="none"/>
                <w:lang w:bidi="en-US"/>
              </w:rPr>
              <w:t>.</w:t>
            </w:r>
            <w:r>
              <w:rPr>
                <w:rFonts w:hint="eastAsia" w:ascii="宋体" w:hAnsi="宋体" w:eastAsia="宋体" w:cs="宋体"/>
                <w:color w:val="auto"/>
                <w:kern w:val="0"/>
                <w:sz w:val="24"/>
                <w:szCs w:val="24"/>
                <w:highlight w:val="none"/>
                <w:lang w:val="zh-TW" w:eastAsia="zh-TW" w:bidi="zh-TW"/>
              </w:rPr>
              <w:t>检查无脱岗及</w:t>
            </w:r>
            <w:r>
              <w:rPr>
                <w:rFonts w:hint="eastAsia" w:ascii="宋体" w:hAnsi="宋体" w:eastAsia="宋体" w:cs="宋体"/>
                <w:color w:val="auto"/>
                <w:kern w:val="0"/>
                <w:sz w:val="24"/>
                <w:szCs w:val="24"/>
                <w:highlight w:val="none"/>
                <w:lang w:val="zh-TW" w:bidi="zh-TW"/>
              </w:rPr>
              <w:t>不在岗现象</w:t>
            </w:r>
            <w:r>
              <w:rPr>
                <w:rFonts w:hint="eastAsia" w:ascii="宋体" w:hAnsi="宋体" w:eastAsia="宋体" w:cs="宋体"/>
                <w:color w:val="auto"/>
                <w:kern w:val="0"/>
                <w:sz w:val="24"/>
                <w:szCs w:val="24"/>
                <w:highlight w:val="none"/>
                <w:lang w:val="zh-TW" w:eastAsia="zh-TW" w:bidi="zh-TW"/>
              </w:rPr>
              <w:t>，确保站内24小时有人值班；</w:t>
            </w:r>
            <w:r>
              <w:rPr>
                <w:rFonts w:hint="eastAsia" w:ascii="宋体" w:hAnsi="宋体" w:eastAsia="宋体" w:cs="宋体"/>
                <w:color w:val="auto"/>
                <w:kern w:val="0"/>
                <w:sz w:val="24"/>
                <w:szCs w:val="24"/>
                <w:highlight w:val="none"/>
                <w:lang w:val="en-US" w:eastAsia="zh-CN" w:bidi="zh-TW"/>
              </w:rPr>
              <w:t>（5</w:t>
            </w:r>
            <w:r>
              <w:rPr>
                <w:rFonts w:hint="eastAsia" w:ascii="宋体" w:hAnsi="宋体" w:eastAsia="宋体" w:cs="宋体"/>
                <w:color w:val="auto"/>
                <w:kern w:val="0"/>
                <w:sz w:val="24"/>
                <w:szCs w:val="24"/>
                <w:highlight w:val="none"/>
                <w:lang w:val="zh-TW" w:eastAsia="zh-TW" w:bidi="zh-TW"/>
              </w:rPr>
              <w:t>分）</w:t>
            </w:r>
          </w:p>
        </w:tc>
        <w:tc>
          <w:tcPr>
            <w:tcW w:w="143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val="zh-TW" w:eastAsia="zh-TW" w:bidi="zh-TW"/>
              </w:rPr>
            </w:pPr>
            <w:r>
              <w:rPr>
                <w:rFonts w:hint="eastAsia" w:ascii="宋体" w:hAnsi="宋体" w:eastAsia="宋体" w:cs="宋体"/>
                <w:color w:val="auto"/>
                <w:kern w:val="0"/>
                <w:sz w:val="24"/>
                <w:szCs w:val="24"/>
                <w:highlight w:val="none"/>
                <w:lang w:val="zh-TW" w:eastAsia="zh-TW" w:bidi="zh-TW"/>
              </w:rPr>
              <w:t>现场</w:t>
            </w:r>
            <w:r>
              <w:rPr>
                <w:rFonts w:hint="eastAsia" w:ascii="宋体" w:hAnsi="宋体" w:eastAsia="宋体" w:cs="宋体"/>
                <w:color w:val="auto"/>
                <w:kern w:val="0"/>
                <w:sz w:val="24"/>
                <w:szCs w:val="24"/>
                <w:highlight w:val="none"/>
                <w:lang w:bidi="zh-TW"/>
              </w:rPr>
              <w:t>检</w:t>
            </w:r>
            <w:r>
              <w:rPr>
                <w:rFonts w:hint="eastAsia" w:ascii="宋体" w:hAnsi="宋体" w:eastAsia="宋体" w:cs="宋体"/>
                <w:color w:val="auto"/>
                <w:kern w:val="0"/>
                <w:sz w:val="24"/>
                <w:szCs w:val="24"/>
                <w:highlight w:val="none"/>
                <w:lang w:val="zh-TW" w:eastAsia="zh-TW" w:bidi="zh-TW"/>
              </w:rPr>
              <w:t>查</w:t>
            </w:r>
          </w:p>
        </w:tc>
        <w:tc>
          <w:tcPr>
            <w:tcW w:w="8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c>
          <w:tcPr>
            <w:tcW w:w="75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0"/>
              <w:jc w:val="center"/>
              <w:textAlignment w:val="auto"/>
              <w:rPr>
                <w:rFonts w:hint="eastAsia" w:ascii="宋体" w:hAnsi="宋体" w:eastAsia="宋体" w:cs="宋体"/>
                <w:color w:val="auto"/>
                <w:kern w:val="0"/>
                <w:sz w:val="24"/>
                <w:szCs w:val="24"/>
                <w:highlight w:val="none"/>
                <w:lang w:eastAsia="en-US" w:bidi="en-US"/>
              </w:rPr>
            </w:pPr>
          </w:p>
        </w:tc>
      </w:tr>
    </w:tbl>
    <w:p>
      <w:pPr>
        <w:spacing w:before="10" w:line="360" w:lineRule="auto"/>
        <w:ind w:firstLine="0"/>
        <w:jc w:val="both"/>
        <w:rPr>
          <w:rFonts w:hint="eastAsia" w:ascii="宋体" w:hAnsi="宋体" w:eastAsia="宋体" w:cs="宋体"/>
          <w:color w:val="auto"/>
          <w:kern w:val="2"/>
          <w:sz w:val="21"/>
          <w:szCs w:val="24"/>
          <w:lang w:val="en-US" w:eastAsia="zh-Hans" w:bidi="ar-SA"/>
        </w:rPr>
      </w:pPr>
    </w:p>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M2Q3ODc2ZTlkNzZlYjljYzY1MDliYTMzODBkMjkifQ=="/>
  </w:docVars>
  <w:rsids>
    <w:rsidRoot w:val="34770F66"/>
    <w:rsid w:val="34770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561"/>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1"/>
    <w:pPr>
      <w:widowControl/>
      <w:spacing w:before="340" w:after="330" w:line="576" w:lineRule="auto"/>
      <w:outlineLvl w:val="0"/>
    </w:pPr>
    <w:rPr>
      <w:rFonts w:ascii="Arial" w:hAnsi="Arial" w:cs="Arial"/>
      <w:b/>
      <w:bCs/>
      <w:color w:val="020000"/>
      <w:kern w:val="36"/>
      <w:sz w:val="44"/>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2026-05-09T08:48:00Z</dcterms:created>
  <dc:creator>萍</dc:creator>
  <cp:lastModifiedBy>萍</cp:lastModifiedBy>
  <dcterms:modified xsi:type="dcterms:W3CDTF">2026-05-09T08:49:09Z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EE363A5CD2FD4658A5AED48285CCBAB2_11</vt:lpwstr>
  </property>
</Properties>
</file>