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版本号：ZCTH2026-07-084.20260713001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篮球场地网球场地排球场地匹克球场地羽毛球场地维修改造项目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ZCTH2026-07-084.</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篮球场地网球场地排球场地匹克球场地羽毛球场地维修改造项目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ZCTH2026-07-084.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篮球场地网球场地排球场地匹克球场地羽毛球场地维修改造项目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学校球类运动场地及附属配套翻新工程。球场长期经受日晒雨淋、温差变化及高频运动荷载，已出现明显结构与面层损伤，需通过系统性翻新恢复场地使用功能与安全性能。翻新范围覆盖全场所有区域，重点针对裂缝区域及三秒区磨损部位进行专项处理，整体翻新后需满足国家及行业关于室外运动场地的平整度、耐磨性、防滑性及耐候性要求。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采购包1（西安文理学院篮球场地网球场地排球场地匹克球场地羽毛球场地维修改造项目）：属于专门面向中小企业采购。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他人参加磋商的，须提供法定代表人授权委托书及被授权人身份证。供应商需在项目电子化交易系统中按要求上传相应证明文件并进行电子签章。</w:t>
      </w:r>
    </w:p>
    <w:p>
      <w:pPr>
        <w:pStyle w:val="null3"/>
      </w:pPr>
      <w:r>
        <w:rPr>
          <w:rFonts w:ascii="仿宋_GB2312" w:hAnsi="仿宋_GB2312" w:cs="仿宋_GB2312" w:eastAsia="仿宋_GB2312"/>
        </w:rPr>
        <w:t>2、施工资质：供应商应具有建设行政主管部门核发的建筑工程施工总承包三级以上（含三级）资质或建筑装修装饰工程专业承包二级以上（含二级）资质。供应商需在项目电子化交易系统中按要求上传相应证明文件并进行电子签章。</w:t>
      </w:r>
    </w:p>
    <w:p>
      <w:pPr>
        <w:pStyle w:val="null3"/>
      </w:pPr>
      <w:r>
        <w:rPr>
          <w:rFonts w:ascii="仿宋_GB2312" w:hAnsi="仿宋_GB2312" w:cs="仿宋_GB2312" w:eastAsia="仿宋_GB2312"/>
        </w:rPr>
        <w:t>3、施工资质：供应商应具有建设行政主管部门颁发的安全生产许可证。供应商需在项目电子化交易系统中按要求上传相应证明文件并进行电子签章。</w:t>
      </w:r>
    </w:p>
    <w:p>
      <w:pPr>
        <w:pStyle w:val="null3"/>
      </w:pPr>
      <w:r>
        <w:rPr>
          <w:rFonts w:ascii="仿宋_GB2312" w:hAnsi="仿宋_GB2312" w:cs="仿宋_GB2312" w:eastAsia="仿宋_GB2312"/>
        </w:rPr>
        <w:t>4、人员资格要求：项目经理要求：拟派项目经理须具备相关专业贰级以上（含贰级）建造师资质，同时具有安全生产考核合格证（B证），提供无在建工程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采购包1：729,783.51元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参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729,783.51</w:t>
      </w:r>
    </w:p>
    <w:p>
      <w:pPr>
        <w:pStyle w:val="null3"/>
      </w:pPr>
      <w:r>
        <w:rPr>
          <w:rFonts w:ascii="仿宋_GB2312" w:hAnsi="仿宋_GB2312" w:cs="仿宋_GB2312" w:eastAsia="仿宋_GB2312"/>
        </w:rPr>
        <w:t>采购包最高限价（元）: 729,783.51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西安文理学院篮球场地网球场地排球场地匹克球场地羽毛球场地维修改造项目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729,783.51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标的名称：西安文理学院篮球场地网球场地排球场地匹克球场地羽毛球场地维修改造项目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一、工程概况</w:t>
            </w:r>
          </w:p>
          <w:p>
            <w:pPr>
              <w:pStyle w:val="null3"/>
              <w:ind w:firstLine="480"/>
            </w:pPr>
            <w:r>
              <w:rPr>
                <w:rFonts w:ascii="仿宋_GB2312" w:hAnsi="仿宋_GB2312" w:cs="仿宋_GB2312" w:eastAsia="仿宋_GB2312"/>
              </w:rPr>
              <w:t>1.</w:t>
            </w:r>
            <w:r>
              <w:rPr>
                <w:rFonts w:ascii="仿宋_GB2312" w:hAnsi="仿宋_GB2312" w:cs="仿宋_GB2312" w:eastAsia="仿宋_GB2312"/>
              </w:rPr>
              <w:t>本项目为学校球类运动场地及附属配套翻新工程。球场长期经受日晒雨淋、温差变化及高频运动荷载，已出现明显结构与面层损伤，需通过系统性翻新恢复场地使用功能与安全性能。翻新范围覆盖全场所有区域，重点针对裂缝区域及三秒区磨损部位进行专项处理，整体翻新后需满足国家及行业关于室外运动场地的平整度、耐磨性、防滑性及耐候性要求</w:t>
            </w:r>
          </w:p>
          <w:p>
            <w:pPr>
              <w:pStyle w:val="null3"/>
              <w:ind w:firstLine="480"/>
            </w:pPr>
            <w:r>
              <w:rPr>
                <w:rFonts w:ascii="仿宋_GB2312" w:hAnsi="仿宋_GB2312" w:cs="仿宋_GB2312" w:eastAsia="仿宋_GB2312"/>
              </w:rPr>
              <w:t>2、编制依据</w:t>
            </w:r>
          </w:p>
          <w:p>
            <w:pPr>
              <w:pStyle w:val="null3"/>
              <w:ind w:firstLine="480"/>
            </w:pPr>
            <w:r>
              <w:rPr>
                <w:rFonts w:ascii="仿宋_GB2312" w:hAnsi="仿宋_GB2312" w:cs="仿宋_GB2312" w:eastAsia="仿宋_GB2312"/>
              </w:rPr>
              <w:t>2.1陕西省建设工程工程量清单计价标准DB61/T5126-2025。</w:t>
            </w:r>
          </w:p>
          <w:p>
            <w:pPr>
              <w:pStyle w:val="null3"/>
              <w:ind w:firstLine="480"/>
            </w:pPr>
            <w:r>
              <w:rPr>
                <w:rFonts w:ascii="仿宋_GB2312" w:hAnsi="仿宋_GB2312" w:cs="仿宋_GB2312" w:eastAsia="仿宋_GB2312"/>
              </w:rPr>
              <w:t>2.2国家、省建设主管部门颁发的计价依据和办法。陕西省建设工程费用规则（2025）、陕西省房屋建筑与装饰工程基价表（2025）、陕西省通用安装基价表（2025）、陕西省市政工程价目表（2025）、陕西省园林绿化工程价目表（2025）。</w:t>
            </w:r>
          </w:p>
          <w:p>
            <w:pPr>
              <w:pStyle w:val="null3"/>
              <w:ind w:firstLine="480"/>
            </w:pPr>
            <w:r>
              <w:rPr>
                <w:rFonts w:ascii="仿宋_GB2312" w:hAnsi="仿宋_GB2312" w:cs="仿宋_GB2312" w:eastAsia="仿宋_GB2312"/>
              </w:rPr>
              <w:t>2.3建设工程设计图纸，答疑等资料。</w:t>
            </w:r>
          </w:p>
          <w:p>
            <w:pPr>
              <w:pStyle w:val="null3"/>
              <w:ind w:firstLine="480"/>
            </w:pPr>
            <w:r>
              <w:rPr>
                <w:rFonts w:ascii="仿宋_GB2312" w:hAnsi="仿宋_GB2312" w:cs="仿宋_GB2312" w:eastAsia="仿宋_GB2312"/>
              </w:rPr>
              <w:t>2.4与建设工程项目有关的标准、规范、技术资料，现行有关法律、法规。</w:t>
            </w:r>
          </w:p>
          <w:p>
            <w:pPr>
              <w:pStyle w:val="null3"/>
              <w:ind w:firstLine="480"/>
            </w:pPr>
            <w:r>
              <w:rPr>
                <w:rFonts w:ascii="仿宋_GB2312" w:hAnsi="仿宋_GB2312" w:cs="仿宋_GB2312" w:eastAsia="仿宋_GB2312"/>
              </w:rPr>
              <w:t>2.5本工程对工程量清单编制的相关要求。</w:t>
            </w:r>
          </w:p>
          <w:p>
            <w:pPr>
              <w:pStyle w:val="null3"/>
              <w:ind w:firstLine="480"/>
            </w:pPr>
            <w:r>
              <w:rPr>
                <w:rFonts w:ascii="仿宋_GB2312" w:hAnsi="仿宋_GB2312" w:cs="仿宋_GB2312" w:eastAsia="仿宋_GB2312"/>
              </w:rPr>
              <w:t>2.6工程清单项目特征中注明做法的，其工程内容为做法所含全部内容，未注明做法的，其工程内容同《计价规则》对应项工程内容。</w:t>
            </w:r>
          </w:p>
          <w:p>
            <w:pPr>
              <w:pStyle w:val="null3"/>
              <w:ind w:firstLine="480"/>
            </w:pPr>
            <w:r>
              <w:rPr>
                <w:rFonts w:ascii="仿宋_GB2312" w:hAnsi="仿宋_GB2312" w:cs="仿宋_GB2312" w:eastAsia="仿宋_GB2312"/>
              </w:rPr>
              <w:t>2.7工程量清单采用广联达GCCP7.0编制，版本为7.5000.23.</w:t>
            </w:r>
            <w:r>
              <w:rPr>
                <w:rFonts w:ascii="仿宋_GB2312" w:hAnsi="仿宋_GB2312" w:cs="仿宋_GB2312" w:eastAsia="仿宋_GB2312"/>
              </w:rPr>
              <w:t>3</w:t>
            </w:r>
            <w:r>
              <w:rPr>
                <w:rFonts w:ascii="仿宋_GB2312" w:hAnsi="仿宋_GB2312" w:cs="仿宋_GB2312" w:eastAsia="仿宋_GB2312"/>
              </w:rPr>
              <w:t>。</w:t>
            </w:r>
          </w:p>
          <w:p>
            <w:pPr>
              <w:pStyle w:val="null3"/>
              <w:ind w:firstLine="480"/>
            </w:pPr>
            <w:r>
              <w:rPr>
                <w:rFonts w:ascii="仿宋_GB2312" w:hAnsi="仿宋_GB2312" w:cs="仿宋_GB2312" w:eastAsia="仿宋_GB2312"/>
              </w:rPr>
              <w:t>3</w:t>
            </w:r>
            <w:r>
              <w:rPr>
                <w:rFonts w:ascii="仿宋_GB2312" w:hAnsi="仿宋_GB2312" w:cs="仿宋_GB2312" w:eastAsia="仿宋_GB2312"/>
              </w:rPr>
              <w:t>.其它</w:t>
            </w:r>
          </w:p>
          <w:p>
            <w:pPr>
              <w:pStyle w:val="null3"/>
              <w:ind w:firstLine="480"/>
            </w:pPr>
            <w:r>
              <w:rPr>
                <w:rFonts w:ascii="仿宋_GB2312" w:hAnsi="仿宋_GB2312" w:cs="仿宋_GB2312" w:eastAsia="仿宋_GB2312"/>
              </w:rPr>
              <w:t>3.1 本项目暂列金额20000元。</w:t>
            </w:r>
          </w:p>
          <w:p>
            <w:pPr>
              <w:pStyle w:val="null3"/>
            </w:pPr>
            <w:r>
              <w:rPr>
                <w:rFonts w:ascii="仿宋_GB2312" w:hAnsi="仿宋_GB2312" w:cs="仿宋_GB2312" w:eastAsia="仿宋_GB2312"/>
                <w:sz w:val="21"/>
              </w:rPr>
              <w:t>其他</w:t>
            </w:r>
            <w:r>
              <w:rPr>
                <w:rFonts w:ascii="仿宋_GB2312" w:hAnsi="仿宋_GB2312" w:cs="仿宋_GB2312" w:eastAsia="仿宋_GB2312"/>
                <w:sz w:val="21"/>
              </w:rPr>
              <w:t>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pPr>
            <w:r>
              <w:rPr>
                <w:rFonts w:ascii="仿宋_GB2312" w:hAnsi="仿宋_GB2312" w:cs="仿宋_GB2312" w:eastAsia="仿宋_GB2312"/>
              </w:rPr>
              <w:t>一、施工地点、工期、缺陷责任期、质量保修范围、质量保修期、质量标准。</w:t>
            </w:r>
          </w:p>
          <w:p>
            <w:pPr>
              <w:pStyle w:val="null3"/>
              <w:ind w:firstLine="480"/>
            </w:pPr>
            <w:r>
              <w:rPr>
                <w:rFonts w:ascii="仿宋_GB2312" w:hAnsi="仿宋_GB2312" w:cs="仿宋_GB2312" w:eastAsia="仿宋_GB2312"/>
              </w:rPr>
              <w:t>1.施工地点：采购人指定地点</w:t>
            </w:r>
          </w:p>
          <w:p>
            <w:pPr>
              <w:pStyle w:val="null3"/>
              <w:ind w:firstLine="480"/>
            </w:pPr>
            <w:r>
              <w:rPr>
                <w:rFonts w:ascii="仿宋_GB2312" w:hAnsi="仿宋_GB2312" w:cs="仿宋_GB2312" w:eastAsia="仿宋_GB2312"/>
              </w:rPr>
              <w:t>2.工期：30 日历天</w:t>
            </w:r>
          </w:p>
          <w:p>
            <w:pPr>
              <w:pStyle w:val="null3"/>
              <w:ind w:firstLine="480"/>
            </w:pPr>
            <w:r>
              <w:rPr>
                <w:rFonts w:ascii="仿宋_GB2312" w:hAnsi="仿宋_GB2312" w:cs="仿宋_GB2312" w:eastAsia="仿宋_GB2312"/>
              </w:rPr>
              <w:t>3.责任缺陷期：2年</w:t>
            </w:r>
          </w:p>
          <w:p>
            <w:pPr>
              <w:pStyle w:val="null3"/>
              <w:ind w:firstLine="480"/>
            </w:pPr>
            <w:r>
              <w:rPr>
                <w:rFonts w:ascii="仿宋_GB2312" w:hAnsi="仿宋_GB2312" w:cs="仿宋_GB2312" w:eastAsia="仿宋_GB2312"/>
              </w:rPr>
              <w:t>4.质量保修范围：本项目全部内容</w:t>
            </w:r>
          </w:p>
          <w:p>
            <w:pPr>
              <w:pStyle w:val="null3"/>
              <w:ind w:firstLine="480"/>
            </w:pPr>
            <w:r>
              <w:rPr>
                <w:rFonts w:ascii="仿宋_GB2312" w:hAnsi="仿宋_GB2312" w:cs="仿宋_GB2312" w:eastAsia="仿宋_GB2312"/>
              </w:rPr>
              <w:t>5.质量保修期：2年</w:t>
            </w:r>
          </w:p>
          <w:p>
            <w:pPr>
              <w:pStyle w:val="null3"/>
            </w:pPr>
            <w:r>
              <w:rPr>
                <w:rFonts w:ascii="仿宋_GB2312" w:hAnsi="仿宋_GB2312" w:cs="仿宋_GB2312" w:eastAsia="仿宋_GB2312"/>
                <w:sz w:val="21"/>
              </w:rPr>
              <w:t>6.质量标准：符合现行国家有关工程施工验收规范和标准的要求“合格”标准.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满足采购人要求及国家相关规定。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清单报价编制要求：（1）供应商应充分考虑磋商文件的各项要求和本工程的实际情况，根据自身实力，充分考虑材料价格、人工费、物价上涨等市场变化的风险，自主报价，风险自担。（2）不可竞争的规费、税金、安全文明施工费按计价规则的规定计取，营改增按陕建发调整陕西省建设工程计价依据的通知执行，磋商报价中包含所有费用。（3）本工程材料采购需采购人进行认质。 3.3.2本项目各包工程量清单详见附件。 3.3.3清单所列工程量是预计数量，实际结算按实际完成的工程量进行结算。 3.3.4实行综合单价包干。综合单价在合同执行期间内，综合单价不作任何调整。待完工时，以竣工工程量及监理单位、甲方确认的现场确认工程量为依据，以实际工程量进行结算。 如最终成交价低于第一次报价，则结算综合单价＝响应文件一次清单综合单价×（1- 最终投标下浮率），最终投标下浮率＝(1-最终报价/第一次报价) ×100%。 3.3.5、为顺利推进政府采购电子化交易平台试点应用工作，供应商需要在线提交所有通过电子化交易平台实施的政府采购项目的响应文件，中标供应商在结果公告发布5个工作日内提供纸质版文件3份。 递交文件地点：西安市高新区锦业一路52号宝德云谷国际B座14层1406-6室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 ②法人提供自2025年6月1日以来至少一个月的纳税证明或完税证明，纳税证明或完税证明上应有代收机构或税务机关的公章或业务专用章；其他组织和自然人提供自2025年6月1日以来至少一个月缴纳税收的凭据；依法免税的或者依法不需缴税的供应商应提供相关文件证明 ③提供自2025年6月1日以来至少一个月已缴纳的社会保障资金的证明（社会保障资金缴存单据或社保机构开具的社会保险参保缴费情况证明等）；依法不需要缴纳社会保障资金的投标人应提供相关文件证明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2024年度或2025年度审计报告（成立时间至提交投标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 注:1、此项，提供“陕西省政府采购供应商信用承诺书”的，可不再提供其他证明文件 2、供应商需在项目电子化交易系统中上传相关证明文件并进行电子签章。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核发的建筑工程施工总承包三级以上（含三级）资质或建筑装修装饰工程专业承包二级以上（含二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供应商应具有建设行政主管部门颁发的安全生产许可证。供应商需在项目电子化交易系统中按要求上传相应证明文件并进行电子签章。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人员资格要求</w:t>
            </w:r>
          </w:p>
        </w:tc>
        <w:tc>
          <w:tcPr>
            <w:tcW w:type="dxa" w:w="3322"/>
          </w:tcPr>
          <w:p>
            <w:pPr>
              <w:pStyle w:val="null3"/>
            </w:pPr>
            <w:r>
              <w:rPr>
                <w:rFonts w:ascii="仿宋_GB2312" w:hAnsi="仿宋_GB2312" w:cs="仿宋_GB2312" w:eastAsia="仿宋_GB2312"/>
              </w:rPr>
              <w:t>项目经理要求：拟派项目经理须具备相关专业贰级以上（含贰级）建造师资质，同时具有安全生产考核合格证（B证），提供无在建工程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供应商提供针对本项目的施工方案，包括①施工前检查准备、②明确施工流程、③劳动力配置计划等方面。施工方案应符合采购项目特点及要求，描述详尽且有利于项目实施。 满足项目实际要求，无瑕疵：10分；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供应商针对本项目工期要求及施工特点，提供针对本项目的施工进度计划，包括①工程各阶段进度施工计划、②进度控制保证措施。计划制定应充分考虑本项目工期紧的因素，各阶段进度控制措施描述详尽合理。 满足项目实际要求，无瑕疵：8分；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供应商提供针对本项目的质量技术组织措施，包括①质量目标、②技术保障措施、③质量全过程检查制度。措施应符合采购项目特点及要求，贴合本项目特征。 满足项目实际要求，无瑕疵：8分；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供应商提供针对本项目应急预案，包括但不限于赶工应急处理方案、阴雨天腻子不易干燥等问题。根据应急预案考虑是否完善，有无对应的应对措施进行评审。 满足项目实际要求，无瑕疵：8分；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供应商结合工程环境、特点，提供针对本项目的安全文明施工措施，包括①施工过程中安全保护措施②文明施工控制措施③工程产生垃圾处理方案等。 满足项目实际要求，无瑕疵：6分；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供应商须明确针对本项目施工选用涂料的品牌，并提供涂料检测报告或技术资料等，根据涂料品质是否安全，是否符合国家相关标准，能否满足采购人需求进行评审。 满足项目实际要求，无瑕疵：5分； 内容存在1处瑕疵：4分； 内容存在2处瑕疵：3分； 内容存在3处瑕疵：2分； 内容存在4处瑕疵：1分； 未提供或内容存在5处及以上瑕疵：0分。 供应商提供所用涂料的来源渠道证明文件，包括但不限于供货协议或原厂授权等，提供齐全计3分，否则不计分。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供应商提供所用涂料的来源渠道证明文件，包括但不限于供货协议或原厂授权等，提供齐全计3分，否则不计分。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提供供应商2023年7月1日至今类似项目合同，每提供1份得1分，最高得5分。（以合同签订日期为准）。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供应商提供针对本项目的项目组织机构，并明确项目人员构成情况（岗位设置、专业种类及能力、相关专业技术职称）。项目组织机构应设置合理、人员构成明确、技术专业，能够保障项目顺利实施。 满足项目实际要求，无瑕疵：5分；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详见附件：合同文本（西安文理学院篮球场地网球场地排球场地匹克球场地羽毛球场地维修改造项目）.docx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