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版本号：ZCSP-渭南市-2026-00203.1B120260708001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开展美食宣传推广活动(二次)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ZCSP-渭南市-2026-00203.1B1</w:t>
      </w:r>
      <w:r>
        <w:br/>
      </w:r>
      <w:r>
        <w:br/>
      </w:r>
      <w:r>
        <w:br/>
      </w:r>
    </w:p>
    <w:p>
      <w:pPr>
        <w:pStyle w:val="null3"/>
        <w:jc w:val="center"/>
        <w:outlineLvl w:val="2"/>
      </w:pPr>
      <w:r>
        <w:rPr>
          <w:rFonts w:ascii="仿宋_GB2312" w:hAnsi="仿宋_GB2312" w:cs="仿宋_GB2312" w:eastAsia="仿宋_GB2312"/>
          <w:sz w:val="28"/>
          <w:b/>
        </w:rPr>
        <w:t>渭南市商务局</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渭南市商务局</w:t>
      </w:r>
      <w:r>
        <w:rPr>
          <w:rFonts w:ascii="仿宋_GB2312" w:hAnsi="仿宋_GB2312" w:cs="仿宋_GB2312" w:eastAsia="仿宋_GB2312"/>
        </w:rPr>
        <w:t>委托，拟对</w:t>
      </w:r>
      <w:r>
        <w:rPr>
          <w:rFonts w:ascii="仿宋_GB2312" w:hAnsi="仿宋_GB2312" w:cs="仿宋_GB2312" w:eastAsia="仿宋_GB2312"/>
        </w:rPr>
        <w:t>开展美食宣传推广活动(二次)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ZCSP-渭南市-2026-00203.1B1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开展美食宣传推广活动(二次)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以“线上引爆声量、线下深化体验、融合传播赋能”为主线，以“陕菜探秘·寻味渭南”为核心IP，整合深耕陕菜产业知名专业媒体平台与外部合作媒体形成宣传矩阵，聚焦“美食争霸赛”，通过系列化、事件化、话题化的策划与执行，实现品牌传播、文化挖掘、消费引导与产业助推的多重目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采购包1（开展美食宣传推广活动）：属于专门面向中小企业采购。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2、供应商应提供健全的财务会计制度的证明材料：具有良好的商业信誉和健全的财务会计制度以及有依法缴纳税收和社会保障资金的良好记录（提供相关证明或承诺）：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若提供证明材料的，以证明材料为准；</w:t>
      </w:r>
    </w:p>
    <w:p>
      <w:pPr>
        <w:pStyle w:val="null3"/>
      </w:pPr>
      <w:r>
        <w:rPr>
          <w:rFonts w:ascii="仿宋_GB2312" w:hAnsi="仿宋_GB2312" w:cs="仿宋_GB2312" w:eastAsia="仿宋_GB2312"/>
        </w:rPr>
        <w:t>3、具有履行本合同所必需的设备和专业技术能力的说明或承诺：提供具有履行本合同所必需的设备和专业技术能力的说明或承诺（格式自拟，加盖供应商公章）。</w:t>
      </w:r>
    </w:p>
    <w:p>
      <w:pPr>
        <w:pStyle w:val="null3"/>
      </w:pPr>
      <w:r>
        <w:rPr>
          <w:rFonts w:ascii="仿宋_GB2312" w:hAnsi="仿宋_GB2312" w:cs="仿宋_GB2312" w:eastAsia="仿宋_GB2312"/>
        </w:rPr>
        <w:t>4、参加政府采购活动前三年内在经营活动中没有重大违法记录的书面声明：提供参加政府采购活动前三年内在经营活动中没有重大违法记录的书面声明（格式自拟，加盖供应商公章）</w:t>
      </w:r>
    </w:p>
    <w:p>
      <w:pPr>
        <w:pStyle w:val="null3"/>
      </w:pPr>
      <w:r>
        <w:rPr>
          <w:rFonts w:ascii="仿宋_GB2312" w:hAnsi="仿宋_GB2312" w:cs="仿宋_GB2312" w:eastAsia="仿宋_GB2312"/>
        </w:rPr>
        <w:t>5、合法授权：法定代表人被授权人参加的，须出具授权书（附法定代表人、被授权人身份证复印件）及被授权人在本单位证明（提供开标前三个月内任一月在本单位的社保缴纳记录）；法定代表人参加的需提供法人身份证明书；</w:t>
      </w:r>
    </w:p>
    <w:p>
      <w:pPr>
        <w:pStyle w:val="null3"/>
      </w:pPr>
      <w:r>
        <w:rPr>
          <w:rFonts w:ascii="仿宋_GB2312" w:hAnsi="仿宋_GB2312" w:cs="仿宋_GB2312" w:eastAsia="仿宋_GB2312"/>
        </w:rPr>
        <w:t>6、信誉要求：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被财政部门禁止参加政府采购活动的供应商；</w:t>
      </w:r>
    </w:p>
    <w:p>
      <w:pPr>
        <w:pStyle w:val="null3"/>
      </w:pPr>
      <w:r>
        <w:rPr>
          <w:rFonts w:ascii="仿宋_GB2312" w:hAnsi="仿宋_GB2312" w:cs="仿宋_GB2312" w:eastAsia="仿宋_GB2312"/>
        </w:rPr>
        <w:t>7、控股关系：单位负责人为同一人或者存在直接控股、管理关系的不同投标供应商， 不得参加同一合同项下的政府采购活动；</w:t>
      </w:r>
    </w:p>
    <w:p>
      <w:pPr>
        <w:pStyle w:val="null3"/>
      </w:pPr>
      <w:r>
        <w:rPr>
          <w:rFonts w:ascii="仿宋_GB2312" w:hAnsi="仿宋_GB2312" w:cs="仿宋_GB2312" w:eastAsia="仿宋_GB2312"/>
        </w:rPr>
        <w:t>8、磋商保证金：从基本存款账户转出的磋商保证金凭证。</w:t>
      </w:r>
    </w:p>
    <w:p>
      <w:pPr>
        <w:pStyle w:val="null3"/>
      </w:pPr>
      <w:r>
        <w:rPr>
          <w:rFonts w:ascii="仿宋_GB2312" w:hAnsi="仿宋_GB2312" w:cs="仿宋_GB2312" w:eastAsia="仿宋_GB2312"/>
        </w:rPr>
        <w:t>9、是否联合体投标：本项目不接受联合体投标。（提供说明或承诺，格式自拟，加盖供应商公章）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渭南市商务局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渭南市车雷街69号市民综合服务中心东配楼601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15229938603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陕西省西安市未央区陕西省西安市经济技术开发区凤城七路长和国际A座1502室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袁新洁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17349239651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采购包1：363,000.00元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开户名称：品智工程咨询有限公司渭南分公司</w:t>
            </w:r>
          </w:p>
          <w:p>
            <w:pPr>
              <w:pStyle w:val="null3"/>
            </w:pPr>
            <w:r>
              <w:rPr>
                <w:rFonts w:ascii="仿宋_GB2312" w:hAnsi="仿宋_GB2312" w:cs="仿宋_GB2312" w:eastAsia="仿宋_GB2312"/>
              </w:rPr>
              <w:t>开户银行：中国建设银行股份有限公司渭南胜利大街支行</w:t>
            </w:r>
          </w:p>
          <w:p>
            <w:pPr>
              <w:pStyle w:val="null3"/>
            </w:pPr>
            <w:r>
              <w:rPr>
                <w:rFonts w:ascii="仿宋_GB2312" w:hAnsi="仿宋_GB2312" w:cs="仿宋_GB2312" w:eastAsia="仿宋_GB2312"/>
              </w:rPr>
              <w:t>银行账号：61050164140000001103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 计价格【2002】1980 号）及《国家发改委关于降低部分建设项目收费标准规范收费行为等有 关问题的通知》（发改价格[2011]534 号）规定按标准收取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渭南市商务局</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渭南市商务局</w:t>
      </w:r>
      <w:r>
        <w:rPr>
          <w:rFonts w:ascii="仿宋_GB2312" w:hAnsi="仿宋_GB2312" w:cs="仿宋_GB2312" w:eastAsia="仿宋_GB2312"/>
        </w:rPr>
        <w:t>负责解释。除上述磋商文件内容，其他内容由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渭南市商务局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品智工程咨询有限公司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联系人：袁新洁</w:t>
      </w:r>
    </w:p>
    <w:p>
      <w:pPr>
        <w:pStyle w:val="null3"/>
      </w:pPr>
      <w:r>
        <w:rPr>
          <w:rFonts w:ascii="仿宋_GB2312" w:hAnsi="仿宋_GB2312" w:cs="仿宋_GB2312" w:eastAsia="仿宋_GB2312"/>
        </w:rPr>
        <w:t>联系电话：17349239651</w:t>
      </w:r>
    </w:p>
    <w:p>
      <w:pPr>
        <w:pStyle w:val="null3"/>
      </w:pPr>
      <w:r>
        <w:rPr>
          <w:rFonts w:ascii="仿宋_GB2312" w:hAnsi="仿宋_GB2312" w:cs="仿宋_GB2312" w:eastAsia="仿宋_GB2312"/>
        </w:rPr>
        <w:t>地址：渭南市临渭区海兴城南门</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本次宣传推广工作以“线上引爆声量、线下深化体验、融合传播赋开展美食宣传推广活动能”为主线，深入我市12个县市区，围绕不同主题开展探访、品鉴、体验活动，同步产出系列宣传推广内容。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363,000.00</w:t>
      </w:r>
    </w:p>
    <w:p>
      <w:pPr>
        <w:pStyle w:val="null3"/>
      </w:pPr>
      <w:r>
        <w:rPr>
          <w:rFonts w:ascii="仿宋_GB2312" w:hAnsi="仿宋_GB2312" w:cs="仿宋_GB2312" w:eastAsia="仿宋_GB2312"/>
        </w:rPr>
        <w:t>采购包最高限价（元）: 363,000.00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开展美食宣传推广活动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标的名称：开展美食宣传推广活动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333333"/>
              </w:rPr>
              <w:t>一、服务范围</w:t>
            </w:r>
          </w:p>
          <w:p>
            <w:pPr>
              <w:pStyle w:val="null3"/>
            </w:pPr>
            <w:r>
              <w:rPr>
                <w:rFonts w:ascii="仿宋_GB2312" w:hAnsi="仿宋_GB2312" w:cs="仿宋_GB2312" w:eastAsia="仿宋_GB2312"/>
                <w:sz w:val="24"/>
                <w:color w:val="333333"/>
              </w:rPr>
              <w:t>以</w:t>
            </w:r>
            <w:r>
              <w:rPr>
                <w:rFonts w:ascii="仿宋_GB2312" w:hAnsi="仿宋_GB2312" w:cs="仿宋_GB2312" w:eastAsia="仿宋_GB2312"/>
                <w:sz w:val="24"/>
                <w:color w:val="333333"/>
              </w:rPr>
              <w:t>“线上引爆声量、线下深化体验、融合传播赋能”为主线，以“陕菜探秘·寻味渭南”为核心IP，整合</w:t>
            </w:r>
            <w:r>
              <w:rPr>
                <w:rFonts w:ascii="仿宋_GB2312" w:hAnsi="仿宋_GB2312" w:cs="仿宋_GB2312" w:eastAsia="仿宋_GB2312"/>
                <w:sz w:val="24"/>
                <w:color w:val="333333"/>
              </w:rPr>
              <w:t>深耕陕菜产业知名专业</w:t>
            </w:r>
            <w:r>
              <w:rPr>
                <w:rFonts w:ascii="仿宋_GB2312" w:hAnsi="仿宋_GB2312" w:cs="仿宋_GB2312" w:eastAsia="仿宋_GB2312"/>
                <w:sz w:val="24"/>
                <w:color w:val="333333"/>
              </w:rPr>
              <w:t>媒体</w:t>
            </w:r>
            <w:r>
              <w:rPr>
                <w:rFonts w:ascii="仿宋_GB2312" w:hAnsi="仿宋_GB2312" w:cs="仿宋_GB2312" w:eastAsia="仿宋_GB2312"/>
                <w:sz w:val="24"/>
                <w:color w:val="333333"/>
              </w:rPr>
              <w:t>平台与外部合作媒体形成宣传矩阵，聚焦</w:t>
            </w:r>
            <w:r>
              <w:rPr>
                <w:rFonts w:ascii="仿宋_GB2312" w:hAnsi="仿宋_GB2312" w:cs="仿宋_GB2312" w:eastAsia="仿宋_GB2312"/>
                <w:sz w:val="24"/>
                <w:color w:val="333333"/>
              </w:rPr>
              <w:t>“美食争霸赛”，通过系列化、事件化、话题化的策划与执行，实现品牌传播、文化挖掘、消费引导与产业助推的多重目标。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0"/>
              <w:jc w:val="left"/>
            </w:pPr>
            <w:r>
              <w:rPr>
                <w:rFonts w:ascii="仿宋_GB2312" w:hAnsi="仿宋_GB2312" w:cs="仿宋_GB2312" w:eastAsia="仿宋_GB2312"/>
                <w:sz w:val="24"/>
                <w:color w:val="333333"/>
              </w:rPr>
              <w:t>二、服务内容</w:t>
            </w:r>
          </w:p>
          <w:p>
            <w:pPr>
              <w:pStyle w:val="null3"/>
              <w:ind w:firstLine="480"/>
              <w:jc w:val="both"/>
            </w:pPr>
            <w:r>
              <w:rPr>
                <w:rFonts w:ascii="仿宋_GB2312" w:hAnsi="仿宋_GB2312" w:cs="仿宋_GB2312" w:eastAsia="仿宋_GB2312"/>
                <w:sz w:val="24"/>
                <w:color w:val="333333"/>
              </w:rPr>
              <w:t>(一)核心IP打造与全年主线:“陕菜探秘·寻味渭南”年度系列活动</w:t>
            </w:r>
            <w:r>
              <w:br/>
            </w:r>
            <w:r>
              <w:rPr>
                <w:rFonts w:ascii="仿宋_GB2312" w:hAnsi="仿宋_GB2312" w:cs="仿宋_GB2312" w:eastAsia="仿宋_GB2312"/>
                <w:sz w:val="24"/>
                <w:color w:val="333333"/>
              </w:rPr>
              <w:t xml:space="preserve">    1.形式:</w:t>
            </w:r>
            <w:r>
              <w:rPr>
                <w:rFonts w:ascii="仿宋_GB2312" w:hAnsi="仿宋_GB2312" w:cs="仿宋_GB2312" w:eastAsia="仿宋_GB2312"/>
                <w:sz w:val="24"/>
                <w:color w:val="333333"/>
              </w:rPr>
              <w:t>组织陕菜知名文化学者、陕菜知名烹饪大师、</w:t>
            </w:r>
            <w:r>
              <w:rPr>
                <w:rFonts w:ascii="仿宋_GB2312" w:hAnsi="仿宋_GB2312" w:cs="仿宋_GB2312" w:eastAsia="仿宋_GB2312"/>
                <w:sz w:val="24"/>
                <w:color w:val="333333"/>
              </w:rPr>
              <w:t>美食达人、</w:t>
            </w:r>
            <w:r>
              <w:rPr>
                <w:rFonts w:ascii="仿宋_GB2312" w:hAnsi="仿宋_GB2312" w:cs="仿宋_GB2312" w:eastAsia="仿宋_GB2312"/>
                <w:sz w:val="24"/>
                <w:color w:val="333333"/>
              </w:rPr>
              <w:t>行业自媒体</w:t>
            </w:r>
            <w:r>
              <w:rPr>
                <w:rFonts w:ascii="仿宋_GB2312" w:hAnsi="仿宋_GB2312" w:cs="仿宋_GB2312" w:eastAsia="仿宋_GB2312"/>
                <w:sz w:val="24"/>
                <w:color w:val="333333"/>
              </w:rPr>
              <w:t>、摄影</w:t>
            </w:r>
            <w:r>
              <w:rPr>
                <w:rFonts w:ascii="仿宋_GB2312" w:hAnsi="仿宋_GB2312" w:cs="仿宋_GB2312" w:eastAsia="仿宋_GB2312"/>
                <w:sz w:val="24"/>
                <w:color w:val="333333"/>
              </w:rPr>
              <w:t>爱好者</w:t>
            </w:r>
            <w:r>
              <w:rPr>
                <w:rFonts w:ascii="仿宋_GB2312" w:hAnsi="仿宋_GB2312" w:cs="仿宋_GB2312" w:eastAsia="仿宋_GB2312"/>
                <w:sz w:val="24"/>
                <w:color w:val="333333"/>
              </w:rPr>
              <w:t>、短视频博主等组成</w:t>
            </w:r>
            <w:r>
              <w:rPr>
                <w:rFonts w:ascii="仿宋_GB2312" w:hAnsi="仿宋_GB2312" w:cs="仿宋_GB2312" w:eastAsia="仿宋_GB2312"/>
                <w:sz w:val="24"/>
                <w:color w:val="333333"/>
              </w:rPr>
              <w:t>“探秘团”，分季度、分主题深入渭南各县市区</w:t>
            </w:r>
            <w:r>
              <w:rPr>
                <w:rFonts w:ascii="仿宋_GB2312" w:hAnsi="仿宋_GB2312" w:cs="仿宋_GB2312" w:eastAsia="仿宋_GB2312"/>
                <w:sz w:val="24"/>
                <w:color w:val="333333"/>
              </w:rPr>
              <w:t>进行深度探秘</w:t>
            </w:r>
            <w:r>
              <w:rPr>
                <w:rFonts w:ascii="仿宋_GB2312" w:hAnsi="仿宋_GB2312" w:cs="仿宋_GB2312" w:eastAsia="仿宋_GB2312"/>
                <w:sz w:val="24"/>
                <w:color w:val="333333"/>
              </w:rPr>
              <w:t>。</w:t>
            </w:r>
            <w:r>
              <w:br/>
            </w:r>
            <w:r>
              <w:rPr>
                <w:rFonts w:ascii="仿宋_GB2312" w:hAnsi="仿宋_GB2312" w:cs="仿宋_GB2312" w:eastAsia="仿宋_GB2312"/>
                <w:sz w:val="24"/>
                <w:color w:val="333333"/>
              </w:rPr>
              <w:t xml:space="preserve">    2.内容:每期围绕一个县市区或一个主题(如“名宴寻踪”、“小吃江湖”、“大师匠心”)，探访名店、品鉴名宴、评选名菜、对话名厨、溯源名品、记录名吃制作，并体验相关的文旅项目。</w:t>
            </w:r>
            <w:r>
              <w:br/>
            </w:r>
            <w:r>
              <w:rPr>
                <w:rFonts w:ascii="仿宋_GB2312" w:hAnsi="仿宋_GB2312" w:cs="仿宋_GB2312" w:eastAsia="仿宋_GB2312"/>
                <w:sz w:val="24"/>
                <w:color w:val="333333"/>
              </w:rPr>
              <w:t xml:space="preserve">    3.产出:每期活动同步产出高质量的探秘</w:t>
            </w:r>
            <w:r>
              <w:rPr>
                <w:rFonts w:ascii="仿宋_GB2312" w:hAnsi="仿宋_GB2312" w:cs="仿宋_GB2312" w:eastAsia="仿宋_GB2312"/>
                <w:sz w:val="24"/>
                <w:color w:val="333333"/>
              </w:rPr>
              <w:t>vlog</w:t>
            </w:r>
            <w:r>
              <w:rPr>
                <w:rFonts w:ascii="仿宋_GB2312" w:hAnsi="仿宋_GB2312" w:cs="仿宋_GB2312" w:eastAsia="仿宋_GB2312"/>
                <w:sz w:val="24"/>
                <w:color w:val="333333"/>
              </w:rPr>
              <w:t>、图文深度游记、短视频、</w:t>
            </w:r>
            <w:r>
              <w:rPr>
                <w:rFonts w:ascii="仿宋_GB2312" w:hAnsi="仿宋_GB2312" w:cs="仿宋_GB2312" w:eastAsia="仿宋_GB2312"/>
                <w:sz w:val="24"/>
                <w:color w:val="333333"/>
              </w:rPr>
              <w:t>精美</w:t>
            </w:r>
            <w:r>
              <w:rPr>
                <w:rFonts w:ascii="仿宋_GB2312" w:hAnsi="仿宋_GB2312" w:cs="仿宋_GB2312" w:eastAsia="仿宋_GB2312"/>
                <w:sz w:val="24"/>
                <w:color w:val="333333"/>
              </w:rPr>
              <w:t>九宫格美图等，形成系列化内容。</w:t>
            </w:r>
          </w:p>
          <w:p>
            <w:pPr>
              <w:pStyle w:val="null3"/>
              <w:ind w:firstLine="480"/>
              <w:jc w:val="left"/>
            </w:pPr>
            <w:r>
              <w:rPr>
                <w:rFonts w:ascii="仿宋_GB2312" w:hAnsi="仿宋_GB2312" w:cs="仿宋_GB2312" w:eastAsia="仿宋_GB2312"/>
                <w:sz w:val="24"/>
                <w:color w:val="333333"/>
              </w:rPr>
              <w:t>(二)“滋味渭南美食争霸赛”</w:t>
            </w:r>
          </w:p>
          <w:p>
            <w:pPr>
              <w:pStyle w:val="null3"/>
              <w:ind w:firstLine="480"/>
              <w:jc w:val="left"/>
            </w:pPr>
            <w:r>
              <w:rPr>
                <w:rFonts w:ascii="仿宋_GB2312" w:hAnsi="仿宋_GB2312" w:cs="仿宋_GB2312" w:eastAsia="仿宋_GB2312"/>
                <w:sz w:val="24"/>
                <w:color w:val="333333"/>
              </w:rPr>
              <w:t xml:space="preserve"> 1.赛前造势(预热期):制作创意海报、短视频，通过相关平台发布启动消息；</w:t>
            </w:r>
            <w:r>
              <w:br/>
            </w:r>
            <w:r>
              <w:rPr>
                <w:rFonts w:ascii="仿宋_GB2312" w:hAnsi="仿宋_GB2312" w:cs="仿宋_GB2312" w:eastAsia="仿宋_GB2312"/>
                <w:sz w:val="24"/>
                <w:color w:val="333333"/>
              </w:rPr>
              <w:t xml:space="preserve">    2.赛中宣传(引爆期):每期比赛结束后，快速制作发布“争霸赛高光时刻”、“厨艺/摆盘欣赏”、“评委金句”等短视频，并在相关平台上同步宣传。</w:t>
            </w:r>
            <w:r>
              <w:br/>
            </w:r>
            <w:r>
              <w:rPr>
                <w:rFonts w:ascii="仿宋_GB2312" w:hAnsi="仿宋_GB2312" w:cs="仿宋_GB2312" w:eastAsia="仿宋_GB2312"/>
                <w:sz w:val="24"/>
                <w:color w:val="333333"/>
              </w:rPr>
              <w:t xml:space="preserve">    3.赛后延伸(长尾期):邀请文化学者针对每期争霸赛的承办县市区和获奖名菜、名宴、名小吃，进行深度专访，讲述背后故事，塑造行业榜样。</w:t>
            </w:r>
          </w:p>
          <w:p>
            <w:pPr>
              <w:pStyle w:val="null3"/>
              <w:ind w:firstLine="480"/>
              <w:jc w:val="left"/>
            </w:pPr>
            <w:r>
              <w:rPr>
                <w:rFonts w:ascii="仿宋_GB2312" w:hAnsi="仿宋_GB2312" w:cs="仿宋_GB2312" w:eastAsia="仿宋_GB2312"/>
                <w:sz w:val="24"/>
                <w:color w:val="333333"/>
              </w:rPr>
              <w:t>（三）内容要求</w:t>
            </w:r>
          </w:p>
          <w:p>
            <w:pPr>
              <w:pStyle w:val="null3"/>
              <w:ind w:firstLine="480"/>
              <w:jc w:val="left"/>
            </w:pPr>
            <w:r>
              <w:rPr>
                <w:rFonts w:ascii="仿宋_GB2312" w:hAnsi="仿宋_GB2312" w:cs="仿宋_GB2312" w:eastAsia="仿宋_GB2312"/>
                <w:sz w:val="24"/>
                <w:color w:val="333333"/>
              </w:rPr>
              <w:t>1.内容产出:1条3-5分钟精品vlog、1篇1500字图文游记、3-5条短视频、1组九宫格美图、</w:t>
            </w:r>
            <w:r>
              <w:rPr>
                <w:rFonts w:ascii="仿宋_GB2312" w:hAnsi="仿宋_GB2312" w:cs="仿宋_GB2312" w:eastAsia="仿宋_GB2312"/>
                <w:sz w:val="24"/>
                <w:color w:val="333333"/>
              </w:rPr>
              <w:t>同时相关内容在小红书、抖音平台上进行发布</w:t>
            </w:r>
            <w:r>
              <w:rPr>
                <w:rFonts w:ascii="仿宋_GB2312" w:hAnsi="仿宋_GB2312" w:cs="仿宋_GB2312" w:eastAsia="仿宋_GB2312"/>
                <w:sz w:val="24"/>
                <w:color w:val="333333"/>
              </w:rPr>
              <w:t>;</w:t>
            </w:r>
            <w:r>
              <w:br/>
            </w:r>
            <w:r>
              <w:rPr>
                <w:rFonts w:ascii="仿宋_GB2312" w:hAnsi="仿宋_GB2312" w:cs="仿宋_GB2312" w:eastAsia="仿宋_GB2312"/>
                <w:sz w:val="24"/>
                <w:color w:val="333333"/>
              </w:rPr>
              <w:t xml:space="preserve">    2.线下环节:至少对话1位非遗传承人/美食匠人、</w:t>
            </w:r>
            <w:r>
              <w:rPr>
                <w:rFonts w:ascii="仿宋_GB2312" w:hAnsi="仿宋_GB2312" w:cs="仿宋_GB2312" w:eastAsia="仿宋_GB2312"/>
                <w:sz w:val="24"/>
                <w:color w:val="333333"/>
              </w:rPr>
              <w:t>开展</w:t>
            </w:r>
            <w:r>
              <w:rPr>
                <w:rFonts w:ascii="仿宋_GB2312" w:hAnsi="仿宋_GB2312" w:cs="仿宋_GB2312" w:eastAsia="仿宋_GB2312"/>
                <w:sz w:val="24"/>
                <w:color w:val="333333"/>
              </w:rPr>
              <w:t>1项美食手工体验、完成核心名品品鉴、打卡1-2个当地标志性文旅景点;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0"/>
              <w:jc w:val="left"/>
            </w:pPr>
            <w:r>
              <w:rPr>
                <w:rFonts w:ascii="仿宋_GB2312" w:hAnsi="仿宋_GB2312" w:cs="仿宋_GB2312" w:eastAsia="仿宋_GB2312"/>
                <w:sz w:val="24"/>
                <w:color w:val="333333"/>
              </w:rPr>
              <w:t>三、传播渠道</w:t>
            </w:r>
          </w:p>
          <w:p>
            <w:pPr>
              <w:pStyle w:val="null3"/>
            </w:pPr>
            <w:r>
              <w:rPr>
                <w:rFonts w:ascii="仿宋_GB2312" w:hAnsi="仿宋_GB2312" w:cs="仿宋_GB2312" w:eastAsia="仿宋_GB2312"/>
                <w:sz w:val="24"/>
                <w:color w:val="333333"/>
              </w:rPr>
              <w:t>具有相关宣传平台可进行全程</w:t>
            </w:r>
            <w:r>
              <w:rPr>
                <w:rFonts w:ascii="仿宋_GB2312" w:hAnsi="仿宋_GB2312" w:cs="仿宋_GB2312" w:eastAsia="仿宋_GB2312"/>
                <w:sz w:val="24"/>
                <w:color w:val="333333"/>
              </w:rPr>
              <w:t>系列</w:t>
            </w:r>
            <w:r>
              <w:rPr>
                <w:rFonts w:ascii="仿宋_GB2312" w:hAnsi="仿宋_GB2312" w:cs="仿宋_GB2312" w:eastAsia="仿宋_GB2312"/>
                <w:sz w:val="24"/>
                <w:color w:val="333333"/>
              </w:rPr>
              <w:t>跟踪报道。</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自合同签订起至活动结束。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在项目执行过程中，所有活动资料（包括不限于过程文件、汇总报告、相关文件资料等）均符合采购人要求。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进度款，活动结束并经采购人验收合格后，达到付款条件起7个工作日内，支付合同总金额的100.0%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1、供应商应保证其提供的资料真实有效。 2、中标（成交）供应商在领取中标（成交）通知书时提供一正两副纸质投标文件（与电子投标文件一致的签字、盖章的完整版本），纸质投标文件采用书籍（胶装）方式装订成册。 3、若采用保函形式缴纳保证金的供应商，需在文件递交截止之日前，将保函原件扫描件发送至代理公司邮箱2268936619@qq.com。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服务分项报价表.docx 供应商应提供的资格证明文件材料.docx 本国产品说明 关于符合本国产品标准的声明函 服务内容及服务要求应答表 中国境内生产的组件成本核算基本规则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供应商应提供的资格证明文件材料.docx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供应商应提供的资格证明文件材料.docx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若提供证明材料的，以证明材料为准；</w:t>
            </w:r>
          </w:p>
        </w:tc>
        <w:tc>
          <w:tcPr>
            <w:tcW w:type="dxa" w:w="1661"/>
          </w:tcPr>
          <w:p>
            <w:pPr>
              <w:pStyle w:val="null3"/>
            </w:pPr>
            <w:r>
              <w:rPr>
                <w:rFonts w:ascii="仿宋_GB2312" w:hAnsi="仿宋_GB2312" w:cs="仿宋_GB2312" w:eastAsia="仿宋_GB2312"/>
              </w:rPr>
              <w:t>供应商应提供的资格证明文件材料.docx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具有履行本合同所必需的设备和专业技术能力的说明或承诺</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提供具有履行本合同所必需的设备和专业技术能力的说明或承诺（格式自拟，加盖供应商公章）。</w:t>
            </w:r>
          </w:p>
        </w:tc>
        <w:tc>
          <w:tcPr>
            <w:tcW w:type="dxa" w:w="1661"/>
          </w:tcPr>
          <w:p>
            <w:pPr>
              <w:pStyle w:val="null3"/>
            </w:pPr>
            <w:r>
              <w:rPr>
                <w:rFonts w:ascii="仿宋_GB2312" w:hAnsi="仿宋_GB2312" w:cs="仿宋_GB2312" w:eastAsia="仿宋_GB2312"/>
              </w:rPr>
              <w:t>供应商应提供的资格证明文件材料.docx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提供参加政府采购活动前三年内在经营活动中没有重大违法记录的书面声明（格式自拟，加盖供应商公章）</w:t>
            </w:r>
          </w:p>
        </w:tc>
        <w:tc>
          <w:tcPr>
            <w:tcW w:type="dxa" w:w="1661"/>
          </w:tcPr>
          <w:p>
            <w:pPr>
              <w:pStyle w:val="null3"/>
            </w:pPr>
            <w:r>
              <w:rPr>
                <w:rFonts w:ascii="仿宋_GB2312" w:hAnsi="仿宋_GB2312" w:cs="仿宋_GB2312" w:eastAsia="仿宋_GB2312"/>
              </w:rPr>
              <w:t>供应商应提供的资格证明文件材料.docx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合法授权</w:t>
            </w:r>
          </w:p>
        </w:tc>
        <w:tc>
          <w:tcPr>
            <w:tcW w:type="dxa" w:w="3322"/>
          </w:tcPr>
          <w:p>
            <w:pPr>
              <w:pStyle w:val="null3"/>
            </w:pPr>
            <w:r>
              <w:rPr>
                <w:rFonts w:ascii="仿宋_GB2312" w:hAnsi="仿宋_GB2312" w:cs="仿宋_GB2312" w:eastAsia="仿宋_GB2312"/>
              </w:rPr>
              <w:t>法定代表人被授权人参加的，须出具授权书（附法定代表人、被授权人身份证复印件）及被授权人在本单位证明（提供开标前三个月内任一月在本单位的社保缴纳记录）；法定代表人参加的需提供法人身份证明书；</w:t>
            </w:r>
          </w:p>
        </w:tc>
        <w:tc>
          <w:tcPr>
            <w:tcW w:type="dxa" w:w="1661"/>
          </w:tcPr>
          <w:p>
            <w:pPr>
              <w:pStyle w:val="null3"/>
            </w:pPr>
            <w:r>
              <w:rPr>
                <w:rFonts w:ascii="仿宋_GB2312" w:hAnsi="仿宋_GB2312" w:cs="仿宋_GB2312" w:eastAsia="仿宋_GB2312"/>
              </w:rPr>
              <w:t>供应商应提供的资格证明文件材料.docx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供应商应提供的资格证明文件材料.docx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单位负责人为同一人或者存在直接控股、管理关系的不同投标供应商， 不得参加同一合同项下的政府采购活动；</w:t>
            </w:r>
          </w:p>
        </w:tc>
        <w:tc>
          <w:tcPr>
            <w:tcW w:type="dxa" w:w="1661"/>
          </w:tcPr>
          <w:p>
            <w:pPr>
              <w:pStyle w:val="null3"/>
            </w:pPr>
            <w:r>
              <w:rPr>
                <w:rFonts w:ascii="仿宋_GB2312" w:hAnsi="仿宋_GB2312" w:cs="仿宋_GB2312" w:eastAsia="仿宋_GB2312"/>
              </w:rPr>
              <w:t>供应商应提供的资格证明文件材料.docx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从基本存款账户转出的磋商保证金凭证。</w:t>
            </w:r>
          </w:p>
        </w:tc>
        <w:tc>
          <w:tcPr>
            <w:tcW w:type="dxa" w:w="1661"/>
          </w:tcPr>
          <w:p>
            <w:pPr>
              <w:pStyle w:val="null3"/>
            </w:pPr>
            <w:r>
              <w:rPr>
                <w:rFonts w:ascii="仿宋_GB2312" w:hAnsi="仿宋_GB2312" w:cs="仿宋_GB2312" w:eastAsia="仿宋_GB2312"/>
              </w:rPr>
              <w:t>供应商应提供的资格证明文件材料.docx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是否联合体投标</w:t>
            </w:r>
          </w:p>
        </w:tc>
        <w:tc>
          <w:tcPr>
            <w:tcW w:type="dxa" w:w="3322"/>
          </w:tcPr>
          <w:p>
            <w:pPr>
              <w:pStyle w:val="null3"/>
            </w:pPr>
            <w:r>
              <w:rPr>
                <w:rFonts w:ascii="仿宋_GB2312" w:hAnsi="仿宋_GB2312" w:cs="仿宋_GB2312" w:eastAsia="仿宋_GB2312"/>
              </w:rPr>
              <w:t>本项目不接受联合体投标。（提供说明或承诺，格式自拟，加盖供应商公章）</w:t>
            </w:r>
          </w:p>
        </w:tc>
        <w:tc>
          <w:tcPr>
            <w:tcW w:type="dxa" w:w="1661"/>
          </w:tcPr>
          <w:p>
            <w:pPr>
              <w:pStyle w:val="null3"/>
            </w:pPr>
            <w:r>
              <w:rPr>
                <w:rFonts w:ascii="仿宋_GB2312" w:hAnsi="仿宋_GB2312" w:cs="仿宋_GB2312" w:eastAsia="仿宋_GB2312"/>
              </w:rPr>
              <w:t>供应商应提供的资格证明文件材料.docx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除明确允许供应商可以自行编写的外，磋商响应文件是否按照磋商文件给定的格式和要求编制</w:t>
            </w:r>
          </w:p>
        </w:tc>
        <w:tc>
          <w:tcPr>
            <w:tcW w:type="dxa" w:w="1661"/>
          </w:tcPr>
          <w:p>
            <w:pPr>
              <w:pStyle w:val="null3"/>
            </w:pPr>
            <w:r>
              <w:rPr>
                <w:rFonts w:ascii="仿宋_GB2312" w:hAnsi="仿宋_GB2312" w:cs="仿宋_GB2312" w:eastAsia="仿宋_GB2312"/>
              </w:rPr>
              <w:t>响应文件封面 服务分项报价表.docx 供应商应提供的资格证明文件材料.docx 中小企业声明函 残疾人福利性单位声明函 商务应答表 服务方案 服务内容及服务要求应答表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响应文件封面 服务分项报价表.docx 供应商应提供的资格证明文件材料.docx 中小企业声明函 残疾人福利性单位声明函 商务应答表 服务方案 服务内容及服务要求应答表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未超过采购预算</w:t>
            </w:r>
          </w:p>
        </w:tc>
        <w:tc>
          <w:tcPr>
            <w:tcW w:type="dxa" w:w="1661"/>
          </w:tcPr>
          <w:p>
            <w:pPr>
              <w:pStyle w:val="null3"/>
            </w:pPr>
            <w:r>
              <w:rPr>
                <w:rFonts w:ascii="仿宋_GB2312" w:hAnsi="仿宋_GB2312" w:cs="仿宋_GB2312" w:eastAsia="仿宋_GB2312"/>
              </w:rPr>
              <w:t>响应文件封面 服务分项报价表.docx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其他不符合采购文件规定或违法法律法规的情形</w:t>
            </w:r>
          </w:p>
        </w:tc>
        <w:tc>
          <w:tcPr>
            <w:tcW w:type="dxa" w:w="1661"/>
          </w:tcPr>
          <w:p>
            <w:pPr>
              <w:pStyle w:val="null3"/>
            </w:pPr>
            <w:r>
              <w:rPr>
                <w:rFonts w:ascii="仿宋_GB2312" w:hAnsi="仿宋_GB2312" w:cs="仿宋_GB2312" w:eastAsia="仿宋_GB2312"/>
              </w:rPr>
              <w:t>响应文件封面 服务分项报价表.docx 供应商应提供的资格证明文件材料.docx 中小企业声明函 残疾人福利性单位声明函 商务应答表 服务方案 服务内容及服务要求应答表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特点制定整体服务方案，包含：①总体策划方案及详细报价表；②宣传方案；③工作流程、工作内容；④进度计划及保障措施；⑤组织管理方案；⑥活动图文视频素材归档、传播数据复盘、全套项目成果资料移交方案等。 二、评审标准：提供详细、合理、科学可行的方案，方案符合本项目采购需求有针对性，以上6项，以序号①、②、③、④、⑤、⑥为项数，内容无缺项、无漏项且无缺陷的得18分，其中每有一项内容存在缺项或漏项的扣3分，每项内容中每有一处存在缺陷的扣0.5分，该项分值扣完为止，未提供不得分。 三、赋分说明：“缺陷”是指套用其他项目方案内容；存在不适用项目实际情况的情形；引用科学原理错误以及无法实现的情形；引用的法律法规、标准（方法）或其他规范性文件错误；语言错误或存在歧义；前后内容不一；逻辑错误；未能体现出本项目的特点或与本项目实际需求不完全相符；涉及内容无重点或内容体现不齐全以及其他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一、评审内容：供应商针对本项目提供质量保障方案，包含①现场执行质量管控措施；②质量安全审核管控机制；③团队服务质量保障措施；④项目交付成果质量保障措施等内容。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引用科学原理错误以及无法实现的情形；引用的法律法规、标准（方法）或其他规范性文件错误；语言错误或存在歧义；前后内容不一；逻辑错误；未能体现出本项目的特点或与本项目实际需求不完全相符；涉及内容无重点或内容体现不齐全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一、评审内容：针对本次项目具有可行的应急预案，确保展会安全有序进行，包括但不限于①应急事件处置流程；②应急保障措施；③应急人员保障等。 二、评审标准：提供详细、合理、科学可行的方案，方案符合本项目采购需求有针对性，以上3项，以序号①、②、③为项数，内容无缺项、无漏项且无缺陷的得6分，其中每有一项内容存在缺项或漏项的扣2分，每项内容中每有一处存在缺陷的扣0.5分，该项分值扣完为止，未提供不得分。 三、赋分说明：“缺陷”是指套用其他项目方案内容；存在不适用项目实际情况的情形；引用科学原理错误以及无法实现的情形；引用的法律法规、标准（方法）或其他规范性文件错误；语言错误或存在歧义；前后内容不一；逻辑错误；未能体现出本项目的特点或与本项目实际需求不完全相符；涉及内容无重点或内容体现不齐全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专属服务团队</w:t>
            </w:r>
          </w:p>
        </w:tc>
        <w:tc>
          <w:tcPr>
            <w:tcW w:type="dxa" w:w="2492"/>
          </w:tcPr>
          <w:p>
            <w:pPr>
              <w:pStyle w:val="null3"/>
            </w:pPr>
            <w:r>
              <w:rPr>
                <w:rFonts w:ascii="仿宋_GB2312" w:hAnsi="仿宋_GB2312" w:cs="仿宋_GB2312" w:eastAsia="仿宋_GB2312"/>
              </w:rPr>
              <w:t>①项目负责人需具备类似项目经验，并提供项目经理简历及过往项目任职证明（能够体现项目经理业绩或任职材料）得2分；②提供文案撰稿、专业摄影摄像、短视频剪辑、新媒体直播运营 4 个专职岗位人员（附劳动合同等证明材料），每提供1人得2分，最高得8分。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传播渠道与矩阵</w:t>
            </w:r>
          </w:p>
        </w:tc>
        <w:tc>
          <w:tcPr>
            <w:tcW w:type="dxa" w:w="2492"/>
          </w:tcPr>
          <w:p>
            <w:pPr>
              <w:pStyle w:val="null3"/>
            </w:pPr>
            <w:r>
              <w:rPr>
                <w:rFonts w:ascii="仿宋_GB2312" w:hAnsi="仿宋_GB2312" w:cs="仿宋_GB2312" w:eastAsia="仿宋_GB2312"/>
              </w:rPr>
              <w:t>①供应商需提供自有相关宣传平台并附相关证明材料；每提供一个得2分，最高得8分； ②具有与外部媒体资源合作经历，每提供 1 份有效合作协议得2分，最高4分。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本地化履约服务能力</w:t>
            </w:r>
          </w:p>
        </w:tc>
        <w:tc>
          <w:tcPr>
            <w:tcW w:type="dxa" w:w="2492"/>
          </w:tcPr>
          <w:p>
            <w:pPr>
              <w:pStyle w:val="null3"/>
            </w:pPr>
            <w:r>
              <w:rPr>
                <w:rFonts w:ascii="仿宋_GB2312" w:hAnsi="仿宋_GB2312" w:cs="仿宋_GB2312" w:eastAsia="仿宋_GB2312"/>
              </w:rPr>
              <w:t>在渭南市范围内设有固定办公经营场所，可提供现场驻场执行服务得2分；承诺项目全部拍摄、线下探店、活动落地均由本地团队执行，出具本地化服务承诺得 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供应商提供自2023年1月1日至今类似业绩的证明材料（合同或中标/成交通知书复印件加盖公章，以合同签订时间或中标/成交通知书发出为准）每提供一项得3分，最高得15分，不提供不得分。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一、评审内容：为确保项目能按时按质完成，达到服务要求且能保证项目质量，并接受采购人对服务的监督及管理，提供完善的服务承诺。 二、评审标准：提供详细、合理、科学可行的服务承诺，符合本项目采购需求有针对性，得4分；内容存在缺陷扣0.5分；该项分值扣完为止，未提供不得分。 三、赋分说明：“缺陷”是指套用其他项目方案内容；存在不适用项目实际情况的情形；引用科学原理错误以及无法实现的情形；引用的法律法规、标准（方法）或其他规范性文件错误；语言错误或存在歧义；前后内容不一；逻辑错误；未能体现出本项目的特点或与本项目实际需求不完全相符；涉及内容无重点或内容体现不齐全以及其他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满足竞争性磋商文件要求且磋商价格最低的磋商报价为评标基准价，其价格分为满分。其他供应商的价格分统一按照下列公式计算：磋商报价得分=（评标基准价/有效报价）×价格权重（20%）×100。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详见附件：供应商应提供的资格证明文件材料.docx</w:t>
      </w:r>
    </w:p>
    <w:p>
      <w:pPr>
        <w:pStyle w:val="null3"/>
        <w:ind w:firstLine="960"/>
      </w:pPr>
      <w:r>
        <w:rPr>
          <w:rFonts w:ascii="仿宋_GB2312" w:hAnsi="仿宋_GB2312" w:cs="仿宋_GB2312" w:eastAsia="仿宋_GB2312"/>
        </w:rPr>
        <w:t>详见附件：服务分项报价表.docx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详见附件：开展美食宣传推广活动合同(3).docx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