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版本号：CT-ZB00-223-202620260826001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2026年医疗设备采购项目七</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CT-ZB00-223-2026</w:t>
      </w:r>
      <w:r>
        <w:br/>
      </w:r>
      <w:r>
        <w:br/>
      </w:r>
      <w:r>
        <w:br/>
      </w:r>
    </w:p>
    <w:p>
      <w:pPr>
        <w:pStyle w:val="null3"/>
        <w:jc w:val="center"/>
        <w:outlineLvl w:val="2"/>
      </w:pPr>
      <w:r>
        <w:rPr>
          <w:rFonts w:ascii="仿宋_GB2312" w:hAnsi="仿宋_GB2312" w:cs="仿宋_GB2312" w:eastAsia="仿宋_GB2312"/>
          <w:sz w:val="28"/>
          <w:b/>
        </w:rPr>
        <w:t>西安市儿童医院</w:t>
      </w:r>
    </w:p>
    <w:p>
      <w:pPr>
        <w:pStyle w:val="null3"/>
        <w:jc w:val="center"/>
        <w:outlineLvl w:val="2"/>
      </w:pPr>
      <w:r>
        <w:rPr>
          <w:rFonts w:ascii="仿宋_GB2312" w:hAnsi="仿宋_GB2312" w:cs="仿宋_GB2312" w:eastAsia="仿宋_GB2312"/>
          <w:sz w:val="28"/>
          <w:b/>
        </w:rPr>
        <w:t>中昕国际项目管理有限公司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2026年08月26日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中昕国际项目管理有限公司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西安市儿童医院</w:t>
      </w:r>
      <w:r>
        <w:rPr>
          <w:rFonts w:ascii="仿宋_GB2312" w:hAnsi="仿宋_GB2312" w:cs="仿宋_GB2312" w:eastAsia="仿宋_GB2312"/>
        </w:rPr>
        <w:t>委托，拟对</w:t>
      </w:r>
      <w:r>
        <w:rPr>
          <w:rFonts w:ascii="仿宋_GB2312" w:hAnsi="仿宋_GB2312" w:cs="仿宋_GB2312" w:eastAsia="仿宋_GB2312"/>
        </w:rPr>
        <w:t>2026年医疗设备采购项目七</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CT-ZB00-223-2026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2026年医疗设备采购项目七</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本项目拟对2026年医疗设备采购项目七1批进行采购，具体详见采购文件。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具有独立承担民事责任能力的法人、其他组织或自然人，提供合法有效的统一社会信用代码营业执照（事业单位提供事业单位法人证书，自然人应提供身份证）</w:t>
      </w:r>
    </w:p>
    <w:p>
      <w:pPr>
        <w:pStyle w:val="null3"/>
      </w:pPr>
      <w:r>
        <w:rPr>
          <w:rFonts w:ascii="仿宋_GB2312" w:hAnsi="仿宋_GB2312" w:cs="仿宋_GB2312" w:eastAsia="仿宋_GB2312"/>
        </w:rPr>
        <w:t>2、财务状况证明：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w:t>
      </w:r>
    </w:p>
    <w:p>
      <w:pPr>
        <w:pStyle w:val="null3"/>
      </w:pPr>
      <w:r>
        <w:rPr>
          <w:rFonts w:ascii="仿宋_GB2312" w:hAnsi="仿宋_GB2312" w:cs="仿宋_GB2312" w:eastAsia="仿宋_GB2312"/>
        </w:rPr>
        <w:t>3、具有履行合同所必需的设备和专业技术能力的书面声明：具有履行合同所必需的设备和专业技术能力的书面声明</w:t>
      </w:r>
    </w:p>
    <w:p>
      <w:pPr>
        <w:pStyle w:val="null3"/>
      </w:pPr>
      <w:r>
        <w:rPr>
          <w:rFonts w:ascii="仿宋_GB2312" w:hAnsi="仿宋_GB2312" w:cs="仿宋_GB2312" w:eastAsia="仿宋_GB2312"/>
        </w:rPr>
        <w:t>4、税收缴纳证明：提供2025年6月（含6月）以来任意一个月的依法缴纳税收的相关凭据（时间以税款所属时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5、社会保障资金缴纳证明：提供2025年6月（含6月）以来至少一个月的社会保障资金缴存单据或社保机构开具的社会保险参保缴费情况证明。依法不需要缴纳社会保障资金的供应商应提供相关文件证明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6、没有重大违法记录的书面声明：参加政府采购活动前3年内在经营活动中没有重大违法记录的书面声明</w:t>
      </w:r>
    </w:p>
    <w:p>
      <w:pPr>
        <w:pStyle w:val="null3"/>
      </w:pPr>
      <w:r>
        <w:rPr>
          <w:rFonts w:ascii="仿宋_GB2312" w:hAnsi="仿宋_GB2312" w:cs="仿宋_GB2312" w:eastAsia="仿宋_GB2312"/>
        </w:rPr>
        <w:t>7、法定代表人委托授权书：非法定代表人参加磋商的，须提供法定代表人委托授权书，法定代表人参加磋商时,只须提供法定代表人身份证明书</w:t>
      </w:r>
    </w:p>
    <w:p>
      <w:pPr>
        <w:pStyle w:val="null3"/>
      </w:pPr>
      <w:r>
        <w:rPr>
          <w:rFonts w:ascii="仿宋_GB2312" w:hAnsi="仿宋_GB2312" w:cs="仿宋_GB2312" w:eastAsia="仿宋_GB2312"/>
        </w:rPr>
        <w:t>8、信用查询：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9、企业资质：供应商为生产厂家的应提供医疗器械生产许可证，医疗器械经营许可证或医疗器械经营备案证。供应商为代理商的应提供医疗器械经营许可证或医疗器械经营备案证及生产厂家的医疗器械生产许可证</w:t>
      </w:r>
    </w:p>
    <w:p>
      <w:pPr>
        <w:pStyle w:val="null3"/>
      </w:pPr>
      <w:r>
        <w:rPr>
          <w:rFonts w:ascii="仿宋_GB2312" w:hAnsi="仿宋_GB2312" w:cs="仿宋_GB2312" w:eastAsia="仿宋_GB2312"/>
        </w:rPr>
        <w:t>10、备案凭证或注册证：所投产品属于医疗器械管理的提供医疗器械注册证，不属于医疗器械管理的提供相关声明或证明材料</w:t>
      </w:r>
    </w:p>
    <w:p>
      <w:pPr>
        <w:pStyle w:val="null3"/>
      </w:pPr>
      <w:r>
        <w:rPr>
          <w:rFonts w:ascii="仿宋_GB2312" w:hAnsi="仿宋_GB2312" w:cs="仿宋_GB2312" w:eastAsia="仿宋_GB2312"/>
        </w:rPr>
        <w:t>11、非联合体：本项目不接受联合体参与（提供承诺函）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西安市儿童医院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西安市莲湖区西举院巷69号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029-87692082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中昕国际项目管理有限公司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陕西省西安市未央区西安经济技术开发区凤城十二路首创禧悦里25幢A座16层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吴亮亮 王超 王涛 刘润</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19991497141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采购包1：420,000.00元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说明：乙方应于收到中标通知书后3日内，向甲方缴纳中标金额5%履约保证金</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成交供应商应向采购代理机构交纳招标代理服务费。采购代理服务费的收取参照国家计委颁发的《招标代理服务收费管理暂行办法》(计价格[2002]1980号)和《关于招标代理服务收费有关问题的通知》(发改办价格[2003]857号)的收费标准下浮20%执行。开户名称：中昕国际项目管理有限公司；开户行：中国建设银行股份有限公司西安文景路支行；账号：61050178150000000278。</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西安市儿童医院</w:t>
      </w:r>
      <w:r>
        <w:rPr>
          <w:rFonts w:ascii="仿宋_GB2312" w:hAnsi="仿宋_GB2312" w:cs="仿宋_GB2312" w:eastAsia="仿宋_GB2312"/>
        </w:rPr>
        <w:t>和</w:t>
      </w:r>
      <w:r>
        <w:rPr>
          <w:rFonts w:ascii="仿宋_GB2312" w:hAnsi="仿宋_GB2312" w:cs="仿宋_GB2312" w:eastAsia="仿宋_GB2312"/>
        </w:rPr>
        <w:t>中昕国际项目管理有限公司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西安市儿童医院</w:t>
      </w:r>
      <w:r>
        <w:rPr>
          <w:rFonts w:ascii="仿宋_GB2312" w:hAnsi="仿宋_GB2312" w:cs="仿宋_GB2312" w:eastAsia="仿宋_GB2312"/>
        </w:rPr>
        <w:t>负责解释。除上述磋商文件内容，其他内容由</w:t>
      </w:r>
      <w:r>
        <w:rPr>
          <w:rFonts w:ascii="仿宋_GB2312" w:hAnsi="仿宋_GB2312" w:cs="仿宋_GB2312" w:eastAsia="仿宋_GB2312"/>
        </w:rPr>
        <w:t>中昕国际项目管理有限公司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西安市儿童医院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中昕国际项目管理有限公司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 三、如采用供应商所不拥有的知识产权，则在报价中必须包括合法使用该知识产权的相关费用。 四、构成本磋商文件的各组成部分，未经采购人书面同意，供应商不得擅自复印或用于非本磋商项目所需的其他目的。</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中昕国际项目管理有限公司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联系人：吴亮亮王超王涛刘润</w:t>
      </w:r>
    </w:p>
    <w:p>
      <w:pPr>
        <w:pStyle w:val="null3"/>
      </w:pPr>
      <w:r>
        <w:rPr>
          <w:rFonts w:ascii="仿宋_GB2312" w:hAnsi="仿宋_GB2312" w:cs="仿宋_GB2312" w:eastAsia="仿宋_GB2312"/>
        </w:rPr>
        <w:t>联系电话：19991497141</w:t>
      </w:r>
    </w:p>
    <w:p>
      <w:pPr>
        <w:pStyle w:val="null3"/>
      </w:pPr>
      <w:r>
        <w:rPr>
          <w:rFonts w:ascii="仿宋_GB2312" w:hAnsi="仿宋_GB2312" w:cs="仿宋_GB2312" w:eastAsia="仿宋_GB2312"/>
        </w:rPr>
        <w:t>地址：西安市未央区西安经济技术开发区凤城十二路首创禧悦里25幢A座16层</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本项目拟对2026年医疗设备采购项目七1批进行采购，具体详见采购文件。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420,000.00</w:t>
      </w:r>
    </w:p>
    <w:p>
      <w:pPr>
        <w:pStyle w:val="null3"/>
      </w:pPr>
      <w:r>
        <w:rPr>
          <w:rFonts w:ascii="仿宋_GB2312" w:hAnsi="仿宋_GB2312" w:cs="仿宋_GB2312" w:eastAsia="仿宋_GB2312"/>
        </w:rPr>
        <w:t>采购包最高限价（元）: 420,000.00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胸腔镜器械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pPr>
      <w:r>
        <w:rPr>
          <w:rFonts w:ascii="仿宋_GB2312" w:hAnsi="仿宋_GB2312" w:cs="仿宋_GB2312" w:eastAsia="仿宋_GB2312"/>
        </w:rPr>
        <w:t>采购包1：</w:t>
      </w:r>
    </w:p>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标的名称：胸腔镜器械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为了顺应微创外科发展趋势，心脏外科手术也正由开放式向微创化转型，目前我们已经成功开展了大量右腋下切口微创先天性心脏病手术，并取得了良好效果。胸腔镜心脏外科手术以其切口小、不破坏胸腔整体结构、创伤更小的优势，已经在成人心脏外科得到广泛应用。通过胸腔镜手术，可减少患者创伤、缩短恢复时间，提高生活质量。本次申请购置胸腔镜器械一套，用于临床开展小儿心脏胸腔镜手术。</w:t>
            </w:r>
          </w:p>
          <w:p>
            <w:pPr>
              <w:pStyle w:val="null3"/>
            </w:pPr>
            <w:r>
              <w:rPr>
                <w:rFonts w:ascii="仿宋_GB2312" w:hAnsi="仿宋_GB2312" w:cs="仿宋_GB2312" w:eastAsia="仿宋_GB2312"/>
              </w:rPr>
              <w:t>二：</w:t>
            </w:r>
            <w:r>
              <w:rPr>
                <w:rFonts w:ascii="仿宋_GB2312" w:hAnsi="仿宋_GB2312" w:cs="仿宋_GB2312" w:eastAsia="仿宋_GB2312"/>
                <w:sz w:val="20"/>
              </w:rPr>
              <w:t>采购内容（包括采购品目、规格和数量）：</w:t>
            </w:r>
          </w:p>
          <w:tbl>
            <w:tblPr>
              <w:tblBorders>
                <w:top w:val="none" w:color="000000" w:sz="4"/>
                <w:left w:val="none" w:color="000000" w:sz="4"/>
                <w:bottom w:val="none" w:color="000000" w:sz="4"/>
                <w:right w:val="none" w:color="000000" w:sz="4"/>
                <w:insideH w:val="none"/>
                <w:insideV w:val="none"/>
              </w:tblBorders>
            </w:tblPr>
            <w:tblGrid>
              <w:gridCol w:w="239"/>
              <w:gridCol w:w="709"/>
              <w:gridCol w:w="275"/>
              <w:gridCol w:w="550"/>
              <w:gridCol w:w="463"/>
              <w:gridCol w:w="318"/>
            </w:tblGrid>
            <w:tr>
              <w:tc>
                <w:tcPr>
                  <w:tcW w:type="dxa" w:w="2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货物名称</w:t>
                  </w:r>
                </w:p>
              </w:tc>
              <w:tc>
                <w:tcPr>
                  <w:tcW w:type="dxa" w:w="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数量</w:t>
                  </w:r>
                </w:p>
              </w:tc>
              <w:tc>
                <w:tcPr>
                  <w:tcW w:type="dxa" w:w="5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预算单价</w:t>
                  </w:r>
                </w:p>
                <w:p>
                  <w:pPr>
                    <w:pStyle w:val="null3"/>
                    <w:jc w:val="center"/>
                  </w:pPr>
                  <w:r>
                    <w:rPr>
                      <w:rFonts w:ascii="仿宋_GB2312" w:hAnsi="仿宋_GB2312" w:cs="仿宋_GB2312" w:eastAsia="仿宋_GB2312"/>
                      <w:sz w:val="20"/>
                    </w:rPr>
                    <w:t>（万元）</w:t>
                  </w:r>
                </w:p>
              </w:tc>
              <w:tc>
                <w:tcPr>
                  <w:tcW w:type="dxa" w:w="4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总计</w:t>
                  </w:r>
                </w:p>
                <w:p>
                  <w:pPr>
                    <w:pStyle w:val="null3"/>
                    <w:jc w:val="center"/>
                  </w:pPr>
                  <w:r>
                    <w:rPr>
                      <w:rFonts w:ascii="仿宋_GB2312" w:hAnsi="仿宋_GB2312" w:cs="仿宋_GB2312" w:eastAsia="仿宋_GB2312"/>
                      <w:sz w:val="20"/>
                    </w:rPr>
                    <w:t>（万元）</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是否</w:t>
                  </w:r>
                </w:p>
                <w:p>
                  <w:pPr>
                    <w:pStyle w:val="null3"/>
                    <w:jc w:val="center"/>
                  </w:pPr>
                  <w:r>
                    <w:rPr>
                      <w:rFonts w:ascii="仿宋_GB2312" w:hAnsi="仿宋_GB2312" w:cs="仿宋_GB2312" w:eastAsia="仿宋_GB2312"/>
                      <w:sz w:val="20"/>
                    </w:rPr>
                    <w:t>进口</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医用剪</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3.12</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3.12</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医用剪</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3.12</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3.12</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腹部推结器</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2.05</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2.05</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小切口持针钳</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2.20</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2.20</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小切口持针钳</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2.20</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2.20</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骨用牵开器</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2.80</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小切口组织钳</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3.20</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3.20</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医用镊</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2.13</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2.13</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止血钳</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1.60</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3.20</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吸引管</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0.424</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0.424</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11</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框架式牵开器</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17.00</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17.00</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手术拉钩</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0.05</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0.05</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手术拉钩</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0.05</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0.05</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铝合金器械</w:t>
                  </w:r>
                </w:p>
                <w:p>
                  <w:pPr>
                    <w:pStyle w:val="null3"/>
                    <w:jc w:val="center"/>
                  </w:pPr>
                  <w:r>
                    <w:rPr>
                      <w:rFonts w:ascii="仿宋_GB2312" w:hAnsi="仿宋_GB2312" w:cs="仿宋_GB2312" w:eastAsia="仿宋_GB2312"/>
                      <w:sz w:val="20"/>
                    </w:rPr>
                    <w:t>消毒盒</w:t>
                  </w: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0.456</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0.456</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否</w:t>
                  </w:r>
                </w:p>
              </w:tc>
            </w:tr>
            <w:tr>
              <w:tc>
                <w:tcPr>
                  <w:tcW w:type="dxa" w:w="2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5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合计</w:t>
                  </w:r>
                </w:p>
              </w:tc>
              <w:tc>
                <w:tcPr>
                  <w:tcW w:type="dxa" w:w="4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42万</w:t>
                  </w: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rPr>
              <w:t>三：技术要求：（包括对产品的、检验报告等）</w:t>
            </w:r>
          </w:p>
          <w:p>
            <w:pPr>
              <w:pStyle w:val="null3"/>
              <w:ind w:firstLine="400"/>
              <w:jc w:val="both"/>
            </w:pPr>
            <w:r>
              <w:rPr>
                <w:rFonts w:ascii="仿宋_GB2312" w:hAnsi="仿宋_GB2312" w:cs="仿宋_GB2312" w:eastAsia="仿宋_GB2312"/>
                <w:sz w:val="20"/>
              </w:rPr>
              <w:t>1、胸腔镜器械须为同一品牌，且为该品牌最新产品设计和制造工艺</w:t>
            </w:r>
          </w:p>
          <w:p>
            <w:pPr>
              <w:pStyle w:val="null3"/>
              <w:spacing w:after="240"/>
              <w:ind w:firstLine="400"/>
              <w:jc w:val="both"/>
            </w:pPr>
            <w:r>
              <w:rPr>
                <w:rFonts w:ascii="仿宋_GB2312" w:hAnsi="仿宋_GB2312" w:cs="仿宋_GB2312" w:eastAsia="仿宋_GB2312"/>
                <w:sz w:val="20"/>
              </w:rPr>
              <w:t>2、手术器械采用原钢材且无镀层工艺。</w:t>
            </w:r>
          </w:p>
          <w:tbl>
            <w:tblPr>
              <w:tblBorders>
                <w:top w:val="none" w:color="000000" w:sz="4"/>
                <w:left w:val="none" w:color="000000" w:sz="4"/>
                <w:bottom w:val="none" w:color="000000" w:sz="4"/>
                <w:right w:val="none" w:color="000000" w:sz="4"/>
                <w:insideH w:val="none"/>
                <w:insideV w:val="none"/>
              </w:tblBorders>
            </w:tblPr>
            <w:tblGrid>
              <w:gridCol w:w="308"/>
              <w:gridCol w:w="401"/>
              <w:gridCol w:w="1835"/>
            </w:tblGrid>
            <w:tr>
              <w:tc>
                <w:tcPr>
                  <w:tcW w:type="dxa" w:w="30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序号</w:t>
                  </w:r>
                </w:p>
              </w:tc>
              <w:tc>
                <w:tcPr>
                  <w:tcW w:type="dxa" w:w="40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货物名称</w:t>
                  </w:r>
                </w:p>
              </w:tc>
              <w:tc>
                <w:tcPr>
                  <w:tcW w:type="dxa" w:w="18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规格</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医用剪</w:t>
                  </w:r>
                </w:p>
              </w:tc>
              <w:tc>
                <w:tcPr>
                  <w:tcW w:type="dxa" w:w="1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35-40cm 笔式 直型 弯30°带冲洗</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医用剪</w:t>
                  </w:r>
                </w:p>
              </w:tc>
              <w:tc>
                <w:tcPr>
                  <w:tcW w:type="dxa" w:w="1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35-40cm 笔式 直型 弯15°带冲洗</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腹部推结器</w:t>
                  </w:r>
                </w:p>
              </w:tc>
              <w:tc>
                <w:tcPr>
                  <w:tcW w:type="dxa" w:w="1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28-40cm 笔式 单头 U型 带冲洗</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小切口持针钳</w:t>
                  </w:r>
                </w:p>
              </w:tc>
              <w:tc>
                <w:tcPr>
                  <w:tcW w:type="dxa" w:w="1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32-36cm 笔式 直型 直头 单开 头宽3.5mm 钻石粉 带冲洗</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小切口持针钳</w:t>
                  </w:r>
                </w:p>
              </w:tc>
              <w:tc>
                <w:tcPr>
                  <w:tcW w:type="dxa" w:w="1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32-36cm 笔式 弯型 弯头 单开 头宽3.5mm 钻石粉 带冲洗</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6</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骨用牵开器</w:t>
                  </w:r>
                </w:p>
              </w:tc>
              <w:tc>
                <w:tcPr>
                  <w:tcW w:type="dxa" w:w="1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行程90-100mm 叶片尺寸30x40mm 板式 附拉钩固定装置及拉钩</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7</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小切口组织钳</w:t>
                  </w:r>
                </w:p>
              </w:tc>
              <w:tc>
                <w:tcPr>
                  <w:tcW w:type="dxa" w:w="1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35-40cm 笔式 双关节 直 鳄口 头宽2.8mm 带冲洗</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8</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医用镊</w:t>
                  </w:r>
                </w:p>
              </w:tc>
              <w:tc>
                <w:tcPr>
                  <w:tcW w:type="dxa" w:w="1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32-36cm 笔式 直头有齿 双开 头宽1.5mm 带冲洗</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9</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止血钳</w:t>
                  </w:r>
                </w:p>
              </w:tc>
              <w:tc>
                <w:tcPr>
                  <w:tcW w:type="dxa" w:w="1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32-36cm 双关节 滑杆式 圆弯无钩  弯高15mm 杆径6mm 锁牙\指圈型</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10</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吸引管</w:t>
                  </w:r>
                </w:p>
              </w:tc>
              <w:tc>
                <w:tcPr>
                  <w:tcW w:type="dxa" w:w="1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40-42cm 柄式 弯型 头开长槽 磨砂头 杆径5mm 工作长度280-300mm</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rPr>
                    <w:t>▲</w:t>
                  </w:r>
                  <w:r>
                    <w:rPr>
                      <w:rFonts w:ascii="仿宋_GB2312" w:hAnsi="仿宋_GB2312" w:cs="仿宋_GB2312" w:eastAsia="仿宋_GB2312"/>
                      <w:sz w:val="20"/>
                    </w:rPr>
                    <w:t>11</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框架式牵开器</w:t>
                  </w:r>
                </w:p>
              </w:tc>
              <w:tc>
                <w:tcPr>
                  <w:tcW w:type="dxa" w:w="1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框架式 工作长度为18cm-20cm，标准三爪固定器、推拉杆，锁紧六角杆和夹片钳、配8片叶片 (可开门式、单门式各三片、剪刀折叠式2片)</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12</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手术拉钩</w:t>
                  </w:r>
                </w:p>
              </w:tc>
              <w:tc>
                <w:tcPr>
                  <w:tcW w:type="dxa" w:w="1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长度19cm-20cm 单头 弯头 空心叶片 空心手柄</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13</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手术拉钩</w:t>
                  </w:r>
                </w:p>
              </w:tc>
              <w:tc>
                <w:tcPr>
                  <w:tcW w:type="dxa" w:w="1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长度19-20cm 单头 头部19x12mm 心室拉钩</w:t>
                  </w:r>
                </w:p>
              </w:tc>
            </w:tr>
            <w:tr>
              <w:tc>
                <w:tcPr>
                  <w:tcW w:type="dxa" w:w="30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14</w:t>
                  </w:r>
                </w:p>
              </w:tc>
              <w:tc>
                <w:tcPr>
                  <w:tcW w:type="dxa" w:w="40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铝合金器械</w:t>
                  </w:r>
                </w:p>
                <w:p>
                  <w:pPr>
                    <w:pStyle w:val="null3"/>
                    <w:jc w:val="center"/>
                  </w:pPr>
                  <w:r>
                    <w:rPr>
                      <w:rFonts w:ascii="仿宋_GB2312" w:hAnsi="仿宋_GB2312" w:cs="仿宋_GB2312" w:eastAsia="仿宋_GB2312"/>
                      <w:sz w:val="20"/>
                    </w:rPr>
                    <w:t>消毒盒</w:t>
                  </w:r>
                </w:p>
              </w:tc>
              <w:tc>
                <w:tcPr>
                  <w:tcW w:type="dxa" w:w="18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长420-500mm，宽260-300mm，高80-100mm，双层 含硅胶内衬</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四、服务要求：</w:t>
            </w:r>
          </w:p>
          <w:p>
            <w:pPr>
              <w:pStyle w:val="null3"/>
            </w:pPr>
            <w:r>
              <w:rPr>
                <w:rFonts w:ascii="仿宋_GB2312" w:hAnsi="仿宋_GB2312" w:cs="仿宋_GB2312" w:eastAsia="仿宋_GB2312"/>
              </w:rPr>
              <w:t>售后服务要求：</w:t>
            </w:r>
          </w:p>
          <w:p>
            <w:pPr>
              <w:pStyle w:val="null3"/>
            </w:pPr>
            <w:r>
              <w:rPr>
                <w:rFonts w:ascii="仿宋_GB2312" w:hAnsi="仿宋_GB2312" w:cs="仿宋_GB2312" w:eastAsia="仿宋_GB2312"/>
              </w:rPr>
              <w:t>（</w:t>
            </w:r>
            <w:r>
              <w:rPr>
                <w:rFonts w:ascii="仿宋_GB2312" w:hAnsi="仿宋_GB2312" w:cs="仿宋_GB2312" w:eastAsia="仿宋_GB2312"/>
              </w:rPr>
              <w:t>1）厂家在西安设有售后服务机构或有派驻工程师；</w:t>
            </w:r>
          </w:p>
          <w:p>
            <w:pPr>
              <w:pStyle w:val="null3"/>
            </w:pPr>
            <w:r>
              <w:rPr>
                <w:rFonts w:ascii="仿宋_GB2312" w:hAnsi="仿宋_GB2312" w:cs="仿宋_GB2312" w:eastAsia="仿宋_GB2312"/>
              </w:rPr>
              <w:t>（</w:t>
            </w:r>
            <w:r>
              <w:rPr>
                <w:rFonts w:ascii="仿宋_GB2312" w:hAnsi="仿宋_GB2312" w:cs="仿宋_GB2312" w:eastAsia="仿宋_GB2312"/>
              </w:rPr>
              <w:t>2）质保期内接到报修，2小时电话响应，24小时到现场，更换配件若超过72小时，无条件提供备用机。</w:t>
            </w:r>
          </w:p>
          <w:p>
            <w:pPr>
              <w:pStyle w:val="null3"/>
            </w:pPr>
            <w:r>
              <w:rPr>
                <w:rFonts w:ascii="仿宋_GB2312" w:hAnsi="仿宋_GB2312" w:cs="仿宋_GB2312" w:eastAsia="仿宋_GB2312"/>
              </w:rPr>
              <w:t>（</w:t>
            </w:r>
            <w:r>
              <w:rPr>
                <w:rFonts w:ascii="仿宋_GB2312" w:hAnsi="仿宋_GB2312" w:cs="仿宋_GB2312" w:eastAsia="仿宋_GB2312"/>
              </w:rPr>
              <w:t>3）根据科室需求，每年至少一次操作培训</w:t>
            </w:r>
          </w:p>
          <w:p>
            <w:pPr>
              <w:pStyle w:val="null3"/>
            </w:pPr>
            <w:r>
              <w:rPr>
                <w:rFonts w:ascii="仿宋_GB2312" w:hAnsi="仿宋_GB2312" w:cs="仿宋_GB2312" w:eastAsia="仿宋_GB2312"/>
              </w:rPr>
              <w:t>五、商务要求：</w:t>
            </w:r>
          </w:p>
          <w:p>
            <w:pPr>
              <w:pStyle w:val="null3"/>
            </w:pPr>
            <w:r>
              <w:rPr>
                <w:rFonts w:ascii="仿宋_GB2312" w:hAnsi="仿宋_GB2312" w:cs="仿宋_GB2312" w:eastAsia="仿宋_GB2312"/>
              </w:rPr>
              <w:t>1、交货期：自合同签订之日起</w:t>
            </w:r>
            <w:r>
              <w:rPr>
                <w:rFonts w:ascii="仿宋_GB2312" w:hAnsi="仿宋_GB2312" w:cs="仿宋_GB2312" w:eastAsia="仿宋_GB2312"/>
              </w:rPr>
              <w:t>30</w:t>
            </w:r>
            <w:r>
              <w:rPr>
                <w:rFonts w:ascii="仿宋_GB2312" w:hAnsi="仿宋_GB2312" w:cs="仿宋_GB2312" w:eastAsia="仿宋_GB2312"/>
              </w:rPr>
              <w:t>个日历日完成全部项目内容，并交付采购人验收合格。</w:t>
            </w:r>
          </w:p>
          <w:p>
            <w:pPr>
              <w:pStyle w:val="null3"/>
            </w:pPr>
            <w:r>
              <w:rPr>
                <w:rFonts w:ascii="仿宋_GB2312" w:hAnsi="仿宋_GB2312" w:cs="仿宋_GB2312" w:eastAsia="仿宋_GB2312"/>
              </w:rPr>
              <w:t>2、款项结算：</w:t>
            </w:r>
          </w:p>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生产企业为中小型企业</w:t>
            </w:r>
            <w:r>
              <w:rPr>
                <w:rFonts w:ascii="仿宋_GB2312" w:hAnsi="仿宋_GB2312" w:cs="仿宋_GB2312" w:eastAsia="仿宋_GB2312"/>
                <w:sz w:val="20"/>
              </w:rPr>
              <w:t>(需提供中小型企业说明函)，支付方式如下:1.乙方应于收到中标通知书后3日内，向甲方缴纳中标金额5%履约保证金。合同签订后10天内，甲方向乙方支付合同总价款40%作为预付款，乙方需提供相关收款依据。以人工投入为主、实行按月定期结算支付款项的项目，不约定预付款。2.乙方须按其投标文件中响应的交货期按时交货并提供全额合规发票保证“货票同行”，到达甲方指定地点，安装、调试完毕并验收合格后，甲方20个工作日内支付合同总价款的60%。</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乙方为非中小企业，支付方式如下</w:t>
            </w:r>
            <w:r>
              <w:rPr>
                <w:rFonts w:ascii="仿宋_GB2312" w:hAnsi="仿宋_GB2312" w:cs="仿宋_GB2312" w:eastAsia="仿宋_GB2312"/>
                <w:sz w:val="20"/>
              </w:rPr>
              <w:t>:1.乙方应于收到中标通知书后3日内，向甲方缴纳中标金额5%履约保证金。乙方须按照投标文件中响应的交货期按时交货，并提供全额合规发票保证"货票同行”。货物到达甲方指定地点，乙方安装、调试完毕并经甲方验收合格，甲方于20个工作日内支付合同总价款的100%</w:t>
            </w:r>
          </w:p>
          <w:p>
            <w:pPr>
              <w:pStyle w:val="null3"/>
              <w:jc w:val="both"/>
            </w:pPr>
            <w:r>
              <w:rPr>
                <w:rFonts w:ascii="仿宋_GB2312" w:hAnsi="仿宋_GB2312" w:cs="仿宋_GB2312" w:eastAsia="仿宋_GB2312"/>
                <w:sz w:val="20"/>
              </w:rPr>
              <w:t>（三）</w:t>
            </w:r>
            <w:r>
              <w:rPr>
                <w:rFonts w:ascii="仿宋_GB2312" w:hAnsi="仿宋_GB2312" w:cs="仿宋_GB2312" w:eastAsia="仿宋_GB2312"/>
                <w:sz w:val="20"/>
              </w:rPr>
              <w:t>自设备验收合格之日起满三年，期间设备无质量问题的，乙方应在届满后对产品进行全面维护保养，确保设备能够正常运行。乙方完成前述维护保养并经甲方确认设备正常使用后，甲方</w:t>
            </w:r>
            <w:r>
              <w:rPr>
                <w:rFonts w:ascii="仿宋_GB2312" w:hAnsi="仿宋_GB2312" w:cs="仿宋_GB2312" w:eastAsia="仿宋_GB2312"/>
                <w:sz w:val="20"/>
              </w:rPr>
              <w:t>30天内退还履约保证金，合同总价款的5%。</w:t>
            </w:r>
          </w:p>
          <w:p>
            <w:pPr>
              <w:pStyle w:val="null3"/>
              <w:jc w:val="both"/>
            </w:pPr>
            <w:r>
              <w:rPr>
                <w:rFonts w:ascii="仿宋_GB2312" w:hAnsi="仿宋_GB2312" w:cs="仿宋_GB2312" w:eastAsia="仿宋_GB2312"/>
                <w:sz w:val="20"/>
              </w:rPr>
              <w:t>（四）</w:t>
            </w:r>
            <w:r>
              <w:rPr>
                <w:rFonts w:ascii="仿宋_GB2312" w:hAnsi="仿宋_GB2312" w:cs="仿宋_GB2312" w:eastAsia="仿宋_GB2312"/>
                <w:sz w:val="20"/>
              </w:rPr>
              <w:t>甲方付款前，若乙方不开具发票或开具发票不符合要求，则甲方有权拒付款项，无需承担任何责任，且乙方不得以该理由拒绝履行合同义务。</w:t>
            </w:r>
          </w:p>
          <w:p>
            <w:pPr>
              <w:pStyle w:val="null3"/>
            </w:pPr>
            <w:r>
              <w:rPr>
                <w:rFonts w:ascii="仿宋_GB2312" w:hAnsi="仿宋_GB2312" w:cs="仿宋_GB2312" w:eastAsia="仿宋_GB2312"/>
              </w:rPr>
              <w:t>六、其他要求：</w:t>
            </w:r>
          </w:p>
          <w:p>
            <w:pPr>
              <w:pStyle w:val="null3"/>
            </w:pPr>
            <w:r>
              <w:rPr>
                <w:rFonts w:ascii="仿宋_GB2312" w:hAnsi="仿宋_GB2312" w:cs="仿宋_GB2312" w:eastAsia="仿宋_GB2312"/>
              </w:rPr>
              <w:t>（</w:t>
            </w:r>
            <w:r>
              <w:rPr>
                <w:rFonts w:ascii="仿宋_GB2312" w:hAnsi="仿宋_GB2312" w:cs="仿宋_GB2312" w:eastAsia="仿宋_GB2312"/>
              </w:rPr>
              <w:t>一</w:t>
            </w:r>
            <w:r>
              <w:rPr>
                <w:rFonts w:ascii="仿宋_GB2312" w:hAnsi="仿宋_GB2312" w:cs="仿宋_GB2312" w:eastAsia="仿宋_GB2312"/>
              </w:rPr>
              <w:t>）质量验收标准或规范：</w:t>
            </w:r>
          </w:p>
          <w:p>
            <w:pPr>
              <w:pStyle w:val="null3"/>
            </w:pPr>
            <w:r>
              <w:rPr>
                <w:rFonts w:ascii="仿宋_GB2312" w:hAnsi="仿宋_GB2312" w:cs="仿宋_GB2312" w:eastAsia="仿宋_GB2312"/>
              </w:rPr>
              <w:t>（</w:t>
            </w:r>
            <w:r>
              <w:rPr>
                <w:rFonts w:ascii="仿宋_GB2312" w:hAnsi="仿宋_GB2312" w:cs="仿宋_GB2312" w:eastAsia="仿宋_GB2312"/>
              </w:rPr>
              <w:t>1）合同约定的质量和技术要求。</w:t>
            </w:r>
          </w:p>
          <w:p>
            <w:pPr>
              <w:pStyle w:val="null3"/>
            </w:pPr>
            <w:r>
              <w:rPr>
                <w:rFonts w:ascii="仿宋_GB2312" w:hAnsi="仿宋_GB2312" w:cs="仿宋_GB2312" w:eastAsia="仿宋_GB2312"/>
              </w:rPr>
              <w:t>（</w:t>
            </w:r>
            <w:r>
              <w:rPr>
                <w:rFonts w:ascii="仿宋_GB2312" w:hAnsi="仿宋_GB2312" w:cs="仿宋_GB2312" w:eastAsia="仿宋_GB2312"/>
              </w:rPr>
              <w:t>2）货物原产地证明和出厂质量检验合格证书以及质量保修证书等和产品相关的证书。</w:t>
            </w:r>
          </w:p>
          <w:p>
            <w:pPr>
              <w:pStyle w:val="null3"/>
            </w:pPr>
            <w:r>
              <w:rPr>
                <w:rFonts w:ascii="仿宋_GB2312" w:hAnsi="仿宋_GB2312" w:cs="仿宋_GB2312" w:eastAsia="仿宋_GB2312"/>
              </w:rPr>
              <w:t>（</w:t>
            </w:r>
            <w:r>
              <w:rPr>
                <w:rFonts w:ascii="仿宋_GB2312" w:hAnsi="仿宋_GB2312" w:cs="仿宋_GB2312" w:eastAsia="仿宋_GB2312"/>
              </w:rPr>
              <w:t>3）乙方应向甲方提供设备性能的测试程序、测试手段和测试标准。</w:t>
            </w:r>
          </w:p>
          <w:p>
            <w:pPr>
              <w:pStyle w:val="null3"/>
            </w:pPr>
            <w:r>
              <w:rPr>
                <w:rFonts w:ascii="仿宋_GB2312" w:hAnsi="仿宋_GB2312" w:cs="仿宋_GB2312" w:eastAsia="仿宋_GB2312"/>
              </w:rPr>
              <w:t>（</w:t>
            </w:r>
            <w:r>
              <w:rPr>
                <w:rFonts w:ascii="仿宋_GB2312" w:hAnsi="仿宋_GB2312" w:cs="仿宋_GB2312" w:eastAsia="仿宋_GB2312"/>
              </w:rPr>
              <w:t>4）安装调试、技术培训完成后，填写货物验收单。</w:t>
            </w:r>
          </w:p>
          <w:p>
            <w:pPr>
              <w:pStyle w:val="null3"/>
            </w:pPr>
            <w:r>
              <w:rPr>
                <w:rFonts w:ascii="仿宋_GB2312" w:hAnsi="仿宋_GB2312" w:cs="仿宋_GB2312" w:eastAsia="仿宋_GB2312"/>
                <w:sz w:val="21"/>
              </w:rPr>
              <w:t>产品质保期：自验收合格后整机质保三年</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自合同签订之日起30个日历日完成全部项目内容，并交付采购人验收合格。</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一、生产企业为中小型企业(需提供中小型企业说明函)，支付方式如下:1.乙方应于收到中标通知书后3日内，向甲方缴纳中标金额5%履约保证金。合同签订后10天内，甲方向乙方支付合同总价款40%作为预付款，乙方需提供相关收款依据。以人工投入为主、实行按月定期结算支付款项的项目，不约定预付款。2.乙方须按其投标文件中响应的交货期按时交货并提供全额合规发票保证“货票同行”，到达甲方指定地点，安装、调试完毕并验收合格后，甲方20个工作日内支付合同总价款的60%。 二、乙方为非中小企业，支付方式如下:1.乙方应于收到中标通知书后3日内，向甲方缴纳中标金额5%履约保证金。乙方须按照投标文件中响应的交货期按时交货，并提供全额合规发票保证"货票同行”。货物到达甲方指定地点，乙方安装、调试完毕并经甲方验收合格，甲方于20个工作日内支付合同总价款的100%，达到付款条件起30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（1）合同约定的质量和技术要求。 （2）货物原产地证明和出厂质量检验合格证书以及质量保修证书等和产品相关的证书。 （3）乙方应向甲方提供设备性能的测试程序、测试手段和测试标准。 （4）安装调试、技术培训完成后，填写货物验收单。</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自验收合格后整机质保三年</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1.本项目核心产品为：小切口持针钳 。 2.本项目对各单项产品进行单价限价，各单项报价均不得超过单价限价，否则按无效文件处理。具体限价金额详见竞争性磋商文件。 3.因系统原因，3.4.4支付约定无法描述完整，如有不一致请以本部分描述为准。本项目的付款方式为： 一、生产企业为中小型企业(需提供中小型企业说明函)，支付方式如下:1.乙方应于收到中标通知书后3日内，向甲方缴纳中标金额5%履约保证金。合同签订后10天内，甲方向乙方支付合同总价款40%作为预付款，乙方需提供相关收款依据。以人工投入为主、实行按月定期结算支付款项的项目，不约定预付款。2.乙方须按其投标文件中响应的交货期按时交货并提供全额合规发票保证“货票同行”，到达甲方指定地点，安装、调试完毕并验收合格后，甲方20个工作日内支付合同总价款的60%。 二、乙方为非中小企业，支付方式如下:1.乙方应于收到中标通知书后3日内，向甲方缴纳中标金额5%履约保证金。乙方须按照投标文件中响应的交货期按时交货，并提供全额合规发票保证"货票同行”。货物到达甲方指定地点，乙方安装、调试完毕并经甲方验收合格，甲方于20个工作日内支付合同总价款的100% 三、自设备验收合格之日起满三年，期间设备无质量问题的，乙方应在届满后对产品进行全面维护保养，确保设备能够正常运行。乙方完成前述维护保养并经甲方确认设备正常使用后，甲方30天内退还履约保证金，合同总价款的5%。 四、甲方付款前，若乙方不开具发票或开具发票不符合要求，则甲方有权拒付款项，无需承担任何责任，且乙方不得以该理由拒绝履行合同义务。 6、中标（成交）单位在中标（成交）后需向采购人免费提供纸质响应文件正本壹份、副本壹份，用于项目归档使用（双面打印）。纸质版与上传版必须保持一致，若纸质版响应文件与上传政府采购系统电子版文件不一致时，以政府采购平台上传版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具有独立承担民事责任能力的法人、其他组织或自然人，提供合法有效的统一社会信用代码营业执照（事业单位提供事业单位法人证书，自然人应提供身份证）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年度或2025年度经审计完整的财务审计报告（必须上传注册会计师统一监管平台并申请赋码，成立时间至提交投标文件截止时间不足一年的可提供成立后任意时段的资产负债表），或其开标前六个月内银行出具的资信证明，或财政部门认可的政府采购专业担保机构出具的投标担保函。注：财务状况中供应商提供的财务审计报告必须上传注册会计师统一监管平台并申请赋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具有履行合同所必需的设备和专业技术能力的书面声明</w:t>
            </w:r>
          </w:p>
        </w:tc>
        <w:tc>
          <w:tcPr>
            <w:tcW w:type="dxa" w:w="3322"/>
          </w:tcPr>
          <w:p>
            <w:pPr>
              <w:pStyle w:val="null3"/>
            </w:pPr>
            <w:r>
              <w:rPr>
                <w:rFonts w:ascii="仿宋_GB2312" w:hAnsi="仿宋_GB2312" w:cs="仿宋_GB2312" w:eastAsia="仿宋_GB2312"/>
              </w:rPr>
              <w:t>具有履行合同所必需的设备和专业技术能力的书面声明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提供2025年6月（含6月）以来任意一个月的依法缴纳税收的相关凭据（时间以税款所属时期为准），凭据应有税务机关或代收机关的公章或业务专用章。依法免税或无须缴纳税收的供应商，应提供相应证明文件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提供2025年6月（含6月）以来至少一个月的社会保障资金缴存单据或社保机构开具的社会保险参保缴费情况证明。依法不需要缴纳社会保障资金的供应商应提供相关文件证明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没有重大违法记录的书面声明</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法定代表人委托授权书</w:t>
            </w:r>
          </w:p>
        </w:tc>
        <w:tc>
          <w:tcPr>
            <w:tcW w:type="dxa" w:w="3322"/>
          </w:tcPr>
          <w:p>
            <w:pPr>
              <w:pStyle w:val="null3"/>
            </w:pPr>
            <w:r>
              <w:rPr>
                <w:rFonts w:ascii="仿宋_GB2312" w:hAnsi="仿宋_GB2312" w:cs="仿宋_GB2312" w:eastAsia="仿宋_GB2312"/>
              </w:rPr>
              <w:t>非法定代表人参加磋商的，须提供法定代表人委托授权书，法定代表人参加磋商时,只须提供法定代表人身份证明书</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供应商为生产厂家的应提供医疗器械生产许可证，医疗器械经营许可证或医疗器械经营备案证。供应商为代理商的应提供医疗器械经营许可证或医疗器械经营备案证及生产厂家的医疗器械生产许可证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备案凭证或注册证</w:t>
            </w:r>
          </w:p>
        </w:tc>
        <w:tc>
          <w:tcPr>
            <w:tcW w:type="dxa" w:w="3322"/>
          </w:tcPr>
          <w:p>
            <w:pPr>
              <w:pStyle w:val="null3"/>
            </w:pPr>
            <w:r>
              <w:rPr>
                <w:rFonts w:ascii="仿宋_GB2312" w:hAnsi="仿宋_GB2312" w:cs="仿宋_GB2312" w:eastAsia="仿宋_GB2312"/>
              </w:rPr>
              <w:t>所投产品属于医疗器械管理的提供医疗器械注册证，不属于医疗器械管理的提供相关声明或证明材料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非联合体</w:t>
            </w:r>
          </w:p>
        </w:tc>
        <w:tc>
          <w:tcPr>
            <w:tcW w:type="dxa" w:w="3322"/>
          </w:tcPr>
          <w:p>
            <w:pPr>
              <w:pStyle w:val="null3"/>
            </w:pPr>
            <w:r>
              <w:rPr>
                <w:rFonts w:ascii="仿宋_GB2312" w:hAnsi="仿宋_GB2312" w:cs="仿宋_GB2312" w:eastAsia="仿宋_GB2312"/>
              </w:rPr>
              <w:t>本项目不接受联合体参与（提供承诺函）</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签章符合采购文件要求</w:t>
            </w:r>
          </w:p>
        </w:tc>
        <w:tc>
          <w:tcPr>
            <w:tcW w:type="dxa" w:w="3322"/>
          </w:tcPr>
          <w:p>
            <w:pPr>
              <w:pStyle w:val="null3"/>
            </w:pPr>
            <w:r>
              <w:rPr>
                <w:rFonts w:ascii="仿宋_GB2312" w:hAnsi="仿宋_GB2312" w:cs="仿宋_GB2312" w:eastAsia="仿宋_GB2312"/>
              </w:rPr>
              <w:t>投标人应当加盖投标人（法定名称）电子印章</w:t>
            </w:r>
          </w:p>
        </w:tc>
        <w:tc>
          <w:tcPr>
            <w:tcW w:type="dxa" w:w="1661"/>
          </w:tcPr>
          <w:p>
            <w:pPr>
              <w:pStyle w:val="null3"/>
            </w:pPr>
            <w:r>
              <w:rPr>
                <w:rFonts w:ascii="仿宋_GB2312" w:hAnsi="仿宋_GB2312" w:cs="仿宋_GB2312" w:eastAsia="仿宋_GB2312"/>
              </w:rPr>
              <w:t>技术参数偏离表.docx 技术方案.docx 商务要求偏离表.docx 中小企业声明函 报价表 响应文件封面 分项报价表.docx 残疾人福利性单位声明函 标的清单 关于符合本国产品标准的声明函 供应商资格证明文件.docx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最高限价</w:t>
            </w:r>
          </w:p>
        </w:tc>
        <w:tc>
          <w:tcPr>
            <w:tcW w:type="dxa" w:w="3322"/>
          </w:tcPr>
          <w:p>
            <w:pPr>
              <w:pStyle w:val="null3"/>
            </w:pPr>
            <w:r>
              <w:rPr>
                <w:rFonts w:ascii="仿宋_GB2312" w:hAnsi="仿宋_GB2312" w:cs="仿宋_GB2312" w:eastAsia="仿宋_GB2312"/>
              </w:rPr>
              <w:t>磋商报价不得超过最高限价。</w:t>
            </w:r>
          </w:p>
        </w:tc>
        <w:tc>
          <w:tcPr>
            <w:tcW w:type="dxa" w:w="1661"/>
          </w:tcPr>
          <w:p>
            <w:pPr>
              <w:pStyle w:val="null3"/>
            </w:pPr>
            <w:r>
              <w:rPr>
                <w:rFonts w:ascii="仿宋_GB2312" w:hAnsi="仿宋_GB2312" w:cs="仿宋_GB2312" w:eastAsia="仿宋_GB2312"/>
              </w:rPr>
              <w:t>响应文件封面 分项报价表.docx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实质性响应</w:t>
            </w:r>
          </w:p>
        </w:tc>
        <w:tc>
          <w:tcPr>
            <w:tcW w:type="dxa" w:w="3322"/>
          </w:tcPr>
          <w:p>
            <w:pPr>
              <w:pStyle w:val="null3"/>
            </w:pPr>
            <w:r>
              <w:rPr>
                <w:rFonts w:ascii="仿宋_GB2312" w:hAnsi="仿宋_GB2312" w:cs="仿宋_GB2312" w:eastAsia="仿宋_GB2312"/>
              </w:rPr>
              <w:t>供应商必须满足采购文件的实质性要求。</w:t>
            </w:r>
          </w:p>
        </w:tc>
        <w:tc>
          <w:tcPr>
            <w:tcW w:type="dxa" w:w="1661"/>
          </w:tcPr>
          <w:p>
            <w:pPr>
              <w:pStyle w:val="null3"/>
            </w:pPr>
            <w:r>
              <w:rPr>
                <w:rFonts w:ascii="仿宋_GB2312" w:hAnsi="仿宋_GB2312" w:cs="仿宋_GB2312" w:eastAsia="仿宋_GB2312"/>
              </w:rPr>
              <w:t>技术参数偏离表.docx 技术方案.docx 商务要求偏离表.docx 中小企业声明函 报价表 响应文件封面 分项报价表.docx 残疾人福利性单位声明函 标的清单 关于符合本国产品标准的声明函 供应商资格证明文件.docx 响应函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法律、法规规定的其他情形</w:t>
            </w:r>
          </w:p>
        </w:tc>
        <w:tc>
          <w:tcPr>
            <w:tcW w:type="dxa" w:w="3322"/>
          </w:tcPr>
          <w:p>
            <w:pPr>
              <w:pStyle w:val="null3"/>
            </w:pPr>
            <w:r>
              <w:rPr>
                <w:rFonts w:ascii="仿宋_GB2312" w:hAnsi="仿宋_GB2312" w:cs="仿宋_GB2312" w:eastAsia="仿宋_GB2312"/>
              </w:rPr>
              <w:t>供应商须符合法律、法规规定的其他情形。</w:t>
            </w:r>
          </w:p>
        </w:tc>
        <w:tc>
          <w:tcPr>
            <w:tcW w:type="dxa" w:w="1661"/>
          </w:tcPr>
          <w:p>
            <w:pPr>
              <w:pStyle w:val="null3"/>
            </w:pPr>
            <w:r>
              <w:rPr>
                <w:rFonts w:ascii="仿宋_GB2312" w:hAnsi="仿宋_GB2312" w:cs="仿宋_GB2312" w:eastAsia="仿宋_GB2312"/>
              </w:rPr>
              <w:t>技术参数偏离表.docx 技术方案.docx 商务要求偏离表.docx 中小企业声明函 报价表 响应文件封面 分项报价表.docx 残疾人福利性单位声明函 标的清单 关于符合本国产品标准的声明函 供应商资格证明文件.docx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节能、环境标志产品</w:t>
            </w:r>
          </w:p>
        </w:tc>
        <w:tc>
          <w:tcPr>
            <w:tcW w:type="dxa" w:w="2492"/>
          </w:tcPr>
          <w:p>
            <w:pPr>
              <w:pStyle w:val="null3"/>
            </w:pPr>
            <w:r>
              <w:rPr>
                <w:rFonts w:ascii="仿宋_GB2312" w:hAnsi="仿宋_GB2312" w:cs="仿宋_GB2312" w:eastAsia="仿宋_GB2312"/>
              </w:rPr>
              <w:t>供应商所投产品属于节能产品、环境标志产品优先采购范围（除政府强制采购的节能产品外）： 1、所投产品属于节能产品得0.5分； 评审依据：所投产品具有国家确定的认证机构出具的、处于有效期之内的节能产品认证证书（提供证书扫描件）。 2、所投产品属于环境标志产品得0.5分； 评审依据：所投产品具有国家确定的认证机构出具的、处于有效期之内的环境标志产品认证证书（提供证书扫描件）。 注：节能产品、环境标志产品优先采购范围以品目清单为准。财政部、发展改革委、生态环境部等部门根据产品节能环保性能、技术水平和市场成熟程度等因素，确定实施政府优先采购和强制采购的产品类别及所依据的相关标准规范，以品目清单的形式发布并适时调整。</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技术指标响应情况</w:t>
            </w:r>
          </w:p>
        </w:tc>
        <w:tc>
          <w:tcPr>
            <w:tcW w:type="dxa" w:w="2492"/>
          </w:tcPr>
          <w:p>
            <w:pPr>
              <w:pStyle w:val="null3"/>
            </w:pPr>
            <w:r>
              <w:rPr>
                <w:rFonts w:ascii="仿宋_GB2312" w:hAnsi="仿宋_GB2312" w:cs="仿宋_GB2312" w:eastAsia="仿宋_GB2312"/>
              </w:rPr>
              <w:t>根据产品技术和性能响应情况进行评审，完全响应并满足参数需求的得42分，其中：“▲”号技术参数为重要参数，每负偏离一项扣5.0分；未标记项为一般技术参数，每负偏离一项扣2.5分，扣完为止。 备注：相应的各参数指标均需提供佐证材料。佐证材料可以是产品技术说明书或产品彩页或使用说明书或设备功能证明及截图等供应商认为可以佐证参数响应性的材料。供应商对材料的真实性、完整性、有效性及针对性承担责任，自行承担因材料提供不全导致技术参数被认定为具体参数不满足或负偏离的风险。</w:t>
            </w:r>
          </w:p>
        </w:tc>
        <w:tc>
          <w:tcPr>
            <w:tcW w:type="dxa" w:w="831"/>
          </w:tcPr>
          <w:p>
            <w:pPr>
              <w:pStyle w:val="null3"/>
              <w:jc w:val="right"/>
            </w:pPr>
            <w:r>
              <w:rPr>
                <w:rFonts w:ascii="仿宋_GB2312" w:hAnsi="仿宋_GB2312" w:cs="仿宋_GB2312" w:eastAsia="仿宋_GB2312"/>
              </w:rPr>
              <w:t>42.0000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技术参数偏离表.docx</w:t>
            </w:r>
          </w:p>
        </w:tc>
      </w:tr>
      <w:tr>
        <w:tc>
          <w:tcPr>
            <w:tcW w:type="dxa" w:w="831"/>
            <w:vMerge/>
          </w:tcPr>
          <w:p/>
        </w:tc>
        <w:tc>
          <w:tcPr>
            <w:tcW w:type="dxa" w:w="1661"/>
          </w:tcPr>
          <w:p>
            <w:pPr>
              <w:pStyle w:val="null3"/>
            </w:pPr>
            <w:r>
              <w:rPr>
                <w:rFonts w:ascii="仿宋_GB2312" w:hAnsi="仿宋_GB2312" w:cs="仿宋_GB2312" w:eastAsia="仿宋_GB2312"/>
              </w:rPr>
              <w:t>供货方案</w:t>
            </w:r>
          </w:p>
        </w:tc>
        <w:tc>
          <w:tcPr>
            <w:tcW w:type="dxa" w:w="2492"/>
          </w:tcPr>
          <w:p>
            <w:pPr>
              <w:pStyle w:val="null3"/>
            </w:pPr>
            <w:r>
              <w:rPr>
                <w:rFonts w:ascii="仿宋_GB2312" w:hAnsi="仿宋_GB2312" w:cs="仿宋_GB2312" w:eastAsia="仿宋_GB2312"/>
              </w:rPr>
              <w:t>根据供应商提供的供货方案进行评审，供货方案包括：①进度计划 ②人员安排③包装及运输方案④质量管控方案。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安装、调试方案及验收方案</w:t>
            </w:r>
          </w:p>
        </w:tc>
        <w:tc>
          <w:tcPr>
            <w:tcW w:type="dxa" w:w="2492"/>
          </w:tcPr>
          <w:p>
            <w:pPr>
              <w:pStyle w:val="null3"/>
            </w:pPr>
            <w:r>
              <w:rPr>
                <w:rFonts w:ascii="仿宋_GB2312" w:hAnsi="仿宋_GB2312" w:cs="仿宋_GB2312" w:eastAsia="仿宋_GB2312"/>
              </w:rPr>
              <w:t>根据供应商提供的安装、调试方案及验收方案进行评审，方案包括：①安装调试进度计划②安装方案 ③调试方案④验收方案。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根据供应商提供的售后服务方案进行评审，方案包括：①售后服务总体计划②响应机制③应急响应预案④售后团队配置。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备品、备件配备方案</w:t>
            </w:r>
          </w:p>
        </w:tc>
        <w:tc>
          <w:tcPr>
            <w:tcW w:type="dxa" w:w="2492"/>
          </w:tcPr>
          <w:p>
            <w:pPr>
              <w:pStyle w:val="null3"/>
            </w:pPr>
            <w:r>
              <w:rPr>
                <w:rFonts w:ascii="仿宋_GB2312" w:hAnsi="仿宋_GB2312" w:cs="仿宋_GB2312" w:eastAsia="仿宋_GB2312"/>
              </w:rPr>
              <w:t>根据供应商提供的备品、备件配备方案进行评审，方案包括：①备品备件使用划分②质量保证措施 ③储备体系④质保期外的使用保证措施。上述四项内容完整、无缺陷的，每项得1分，共4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根据供应商提供的培训方案进行评审，方案包括：①培训总体计划 ②培训课程安排③培训验收考核 。上述三项内容完整、无缺陷的，每项得1分，共3分。每项内容有缺陷扣0.5分（缺陷是指内容缺项、不完整或缺少关键点、只有简单描述无实质性内容；非专门针对本项目或不适用本项目特性、套用其他项目内容；对同一问题前后表述矛盾；存在逻辑漏洞、科学原理或常识错误；不利于本项目目标的实现、现有技术条件下不可能出现的情形等任意一种情形），每项内容有缺失扣1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提供所投核心产品业绩，自2023年8月1日起至今的业绩证明材料，每提供一份有效业绩证明材料的得2分，满分8分。 备注：提供完整的合同复印件为准，时间以合同中所体现的时间为准。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满足磋商文件要求且最后磋商价格最低的报价为磋商基准价，其价格分为满分。其他供应商的价格分统一按照下列公式计算：报价得分=（磋商基准价/最后报价）×30。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分项报价表.docx</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详见附件：技术方案.docx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详见附件：技术参数偏离表.docx</w:t>
      </w:r>
    </w:p>
    <w:p>
      <w:pPr>
        <w:pStyle w:val="null3"/>
        <w:ind w:firstLine="960"/>
      </w:pPr>
      <w:r>
        <w:rPr>
          <w:rFonts w:ascii="仿宋_GB2312" w:hAnsi="仿宋_GB2312" w:cs="仿宋_GB2312" w:eastAsia="仿宋_GB2312"/>
        </w:rPr>
        <w:t>详见附件：商务要求偏离表.docx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