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D96DF">
      <w:pPr>
        <w:pStyle w:val="7"/>
        <w:jc w:val="center"/>
        <w:outlineLvl w:val="1"/>
        <w:rPr>
          <w:highlight w:val="none"/>
        </w:rPr>
      </w:pPr>
      <w:r>
        <w:rPr>
          <w:rFonts w:ascii="仿宋_GB2312" w:hAnsi="仿宋_GB2312" w:eastAsia="仿宋_GB2312" w:cs="仿宋_GB2312"/>
          <w:b/>
          <w:sz w:val="36"/>
          <w:highlight w:val="none"/>
        </w:rPr>
        <w:t>拟签订采购合同文本</w:t>
      </w:r>
    </w:p>
    <w:p w14:paraId="52010A8B">
      <w:pPr>
        <w:pStyle w:val="7"/>
        <w:rPr>
          <w:rFonts w:hint="eastAsia"/>
          <w:lang w:val="en-US" w:eastAsia="zh-Hans"/>
        </w:rPr>
      </w:pPr>
    </w:p>
    <w:tbl>
      <w:tblPr>
        <w:tblStyle w:val="5"/>
        <w:tblW w:w="0" w:type="auto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</w:tblGrid>
      <w:tr w14:paraId="3E66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447" w:type="dxa"/>
            <w:noWrap w:val="0"/>
            <w:vAlign w:val="top"/>
          </w:tcPr>
          <w:p w14:paraId="3DFE3CEC"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竞争性磋商</w:t>
            </w:r>
          </w:p>
        </w:tc>
      </w:tr>
    </w:tbl>
    <w:p w14:paraId="51FA457C">
      <w:pPr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4C66FCEF">
      <w:pPr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3169285</wp:posOffset>
            </wp:positionH>
            <wp:positionV relativeFrom="paragraph">
              <wp:posOffset>-888365</wp:posOffset>
            </wp:positionV>
            <wp:extent cx="1857375" cy="600075"/>
            <wp:effectExtent l="0" t="0" r="9525" b="9525"/>
            <wp:wrapNone/>
            <wp:docPr id="2" name="图片 2" descr="F:\9.各类PPT\1.儿童医院LOGO\儿童医院LOGO-2020.9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9.各类PPT\1.儿童医院LOGO\儿童医院LOGO-2020.9.16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E1EB7A">
      <w:pPr>
        <w:jc w:val="center"/>
        <w:rPr>
          <w:rFonts w:hint="eastAsia" w:ascii="仿宋" w:hAnsi="仿宋" w:eastAsia="仿宋" w:cs="仿宋"/>
          <w:color w:val="000000"/>
          <w:sz w:val="52"/>
          <w:szCs w:val="52"/>
        </w:rPr>
      </w:pPr>
      <w:r>
        <w:rPr>
          <w:rFonts w:hint="eastAsia" w:ascii="仿宋" w:hAnsi="仿宋" w:eastAsia="仿宋" w:cs="仿宋"/>
          <w:color w:val="000000"/>
          <w:sz w:val="52"/>
          <w:szCs w:val="52"/>
        </w:rPr>
        <w:t>西安市儿童医院</w:t>
      </w:r>
    </w:p>
    <w:p w14:paraId="48FC1B76">
      <w:pPr>
        <w:jc w:val="center"/>
        <w:rPr>
          <w:rFonts w:hint="eastAsia" w:ascii="仿宋" w:hAnsi="仿宋" w:eastAsia="仿宋" w:cs="仿宋"/>
          <w:color w:val="000000"/>
          <w:sz w:val="48"/>
          <w:szCs w:val="48"/>
        </w:rPr>
      </w:pPr>
      <w:r>
        <w:rPr>
          <w:rFonts w:hint="eastAsia" w:ascii="仿宋" w:hAnsi="仿宋" w:eastAsia="仿宋" w:cs="仿宋"/>
          <w:color w:val="000000"/>
          <w:sz w:val="48"/>
          <w:szCs w:val="48"/>
        </w:rPr>
        <w:t>202</w:t>
      </w:r>
      <w:r>
        <w:rPr>
          <w:rFonts w:hint="eastAsia" w:ascii="仿宋" w:hAnsi="仿宋" w:eastAsia="仿宋" w:cs="仿宋"/>
          <w:color w:val="000000"/>
          <w:sz w:val="48"/>
          <w:szCs w:val="48"/>
          <w:lang w:eastAsia="zh-CN"/>
        </w:rPr>
        <w:t>6</w:t>
      </w:r>
      <w:r>
        <w:rPr>
          <w:rFonts w:hint="eastAsia" w:ascii="仿宋" w:hAnsi="仿宋" w:eastAsia="仿宋" w:cs="仿宋"/>
          <w:color w:val="000000"/>
          <w:sz w:val="48"/>
          <w:szCs w:val="48"/>
        </w:rPr>
        <w:t>年医疗设备采购项目七</w:t>
      </w:r>
    </w:p>
    <w:p w14:paraId="5834EC3E">
      <w:pPr>
        <w:pStyle w:val="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（项目编号：CT-ZB00-223-2026）</w:t>
      </w:r>
    </w:p>
    <w:p w14:paraId="2E7C5C03">
      <w:pPr>
        <w:jc w:val="center"/>
        <w:rPr>
          <w:rFonts w:hint="eastAsia" w:ascii="仿宋" w:hAnsi="仿宋" w:eastAsia="仿宋" w:cs="仿宋"/>
          <w:color w:val="000000"/>
          <w:szCs w:val="21"/>
        </w:rPr>
      </w:pPr>
    </w:p>
    <w:p w14:paraId="05E1B0B0">
      <w:pPr>
        <w:jc w:val="center"/>
        <w:rPr>
          <w:rFonts w:hint="eastAsia" w:ascii="仿宋" w:hAnsi="仿宋" w:eastAsia="仿宋" w:cs="仿宋"/>
          <w:color w:val="000000"/>
          <w:szCs w:val="21"/>
        </w:rPr>
      </w:pPr>
    </w:p>
    <w:p w14:paraId="250E083D">
      <w:pPr>
        <w:jc w:val="center"/>
        <w:rPr>
          <w:rFonts w:hint="eastAsia" w:ascii="仿宋" w:hAnsi="仿宋" w:eastAsia="仿宋" w:cs="仿宋"/>
          <w:color w:val="000000"/>
          <w:szCs w:val="21"/>
        </w:rPr>
      </w:pPr>
      <w:bookmarkStart w:id="0" w:name="_GoBack"/>
      <w:bookmarkEnd w:id="0"/>
    </w:p>
    <w:p w14:paraId="6D138495">
      <w:pPr>
        <w:jc w:val="center"/>
        <w:rPr>
          <w:rFonts w:hint="eastAsia" w:ascii="仿宋" w:hAnsi="仿宋" w:eastAsia="仿宋" w:cs="仿宋"/>
          <w:color w:val="000000"/>
          <w:szCs w:val="21"/>
        </w:rPr>
      </w:pPr>
    </w:p>
    <w:p w14:paraId="4E37A1F0">
      <w:pPr>
        <w:jc w:val="center"/>
        <w:rPr>
          <w:rFonts w:hint="eastAsia" w:ascii="仿宋" w:hAnsi="仿宋" w:eastAsia="仿宋" w:cs="仿宋"/>
          <w:color w:val="000000"/>
          <w:szCs w:val="21"/>
        </w:rPr>
      </w:pPr>
    </w:p>
    <w:p w14:paraId="260A3540">
      <w:pPr>
        <w:jc w:val="center"/>
        <w:rPr>
          <w:rFonts w:hint="eastAsia" w:ascii="仿宋" w:hAnsi="仿宋" w:eastAsia="仿宋" w:cs="仿宋"/>
          <w:color w:val="000000"/>
          <w:szCs w:val="21"/>
        </w:rPr>
      </w:pPr>
    </w:p>
    <w:p w14:paraId="17BFF272">
      <w:pPr>
        <w:jc w:val="center"/>
        <w:rPr>
          <w:rFonts w:hint="eastAsia" w:ascii="仿宋" w:hAnsi="仿宋" w:eastAsia="仿宋" w:cs="仿宋"/>
          <w:color w:val="000000"/>
          <w:szCs w:val="21"/>
        </w:rPr>
      </w:pPr>
    </w:p>
    <w:p w14:paraId="545190AA">
      <w:pPr>
        <w:jc w:val="left"/>
        <w:rPr>
          <w:rFonts w:hint="eastAsia" w:ascii="仿宋" w:hAnsi="仿宋" w:eastAsia="仿宋" w:cs="仿宋"/>
          <w:color w:val="000000"/>
          <w:sz w:val="36"/>
          <w:szCs w:val="36"/>
        </w:rPr>
      </w:pPr>
    </w:p>
    <w:p w14:paraId="0B07ACF8">
      <w:pPr>
        <w:pStyle w:val="2"/>
        <w:jc w:val="both"/>
        <w:rPr>
          <w:rFonts w:hint="eastAsia" w:ascii="仿宋" w:hAnsi="仿宋" w:eastAsia="仿宋" w:cs="仿宋"/>
        </w:rPr>
      </w:pPr>
    </w:p>
    <w:p w14:paraId="68DDEA28">
      <w:pPr>
        <w:pStyle w:val="2"/>
        <w:jc w:val="both"/>
        <w:rPr>
          <w:rFonts w:hint="eastAsia" w:ascii="仿宋" w:hAnsi="仿宋" w:eastAsia="仿宋" w:cs="仿宋"/>
          <w:sz w:val="30"/>
          <w:szCs w:val="30"/>
        </w:rPr>
      </w:pPr>
    </w:p>
    <w:p w14:paraId="1B269DF5">
      <w:pPr>
        <w:rPr>
          <w:rFonts w:hint="eastAsia" w:ascii="仿宋" w:hAnsi="仿宋" w:eastAsia="仿宋" w:cs="仿宋"/>
        </w:rPr>
      </w:pPr>
    </w:p>
    <w:p w14:paraId="15D0EF53">
      <w:pPr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6C26B309">
      <w:pPr>
        <w:ind w:firstLine="150" w:firstLineChars="5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甲方：西安市儿童医院</w:t>
      </w:r>
    </w:p>
    <w:p w14:paraId="2DFE6A6E">
      <w:pPr>
        <w:ind w:firstLine="150" w:firstLineChars="5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乙方：</w:t>
      </w:r>
    </w:p>
    <w:p w14:paraId="2611509E">
      <w:pPr>
        <w:ind w:firstLine="150" w:firstLineChars="50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代理机构：中昕国际项目管理有限公司</w:t>
      </w:r>
    </w:p>
    <w:p w14:paraId="3D0ECA0E">
      <w:pPr>
        <w:ind w:firstLine="150" w:firstLineChars="5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签订地点：西安市儿童医院</w:t>
      </w:r>
    </w:p>
    <w:p w14:paraId="2ADB1E34">
      <w:pPr>
        <w:ind w:firstLine="150" w:firstLineChars="5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签订时间：     年     月</w:t>
      </w:r>
    </w:p>
    <w:p w14:paraId="0D438180">
      <w:pPr>
        <w:spacing w:line="360" w:lineRule="auto"/>
        <w:jc w:val="left"/>
        <w:rPr>
          <w:rFonts w:hint="eastAsia" w:ascii="仿宋" w:hAnsi="仿宋" w:eastAsia="仿宋" w:cs="仿宋"/>
          <w:b/>
          <w:color w:val="000000"/>
          <w:sz w:val="30"/>
          <w:szCs w:val="30"/>
        </w:rPr>
      </w:pPr>
    </w:p>
    <w:p w14:paraId="629D6ECA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甲方：西安市儿童医院                </w:t>
      </w:r>
    </w:p>
    <w:p w14:paraId="7435CEFA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地址：陕西省西安市莲湖区西举院巷69号</w:t>
      </w:r>
    </w:p>
    <w:p w14:paraId="27EF18C3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联系人：乌阳                        </w:t>
      </w:r>
    </w:p>
    <w:p w14:paraId="14732981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电话/传真：（029）-87692564</w:t>
      </w:r>
    </w:p>
    <w:p w14:paraId="5E1F1CE0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4294C99D">
      <w:pPr>
        <w:spacing w:line="360" w:lineRule="auto"/>
        <w:rPr>
          <w:rStyle w:val="8"/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乙方：</w:t>
      </w:r>
    </w:p>
    <w:p w14:paraId="5117848E">
      <w:pPr>
        <w:spacing w:line="360" w:lineRule="auto"/>
        <w:ind w:left="6000" w:hanging="6000" w:hangingChars="25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地址：</w:t>
      </w:r>
      <w:r>
        <w:rPr>
          <w:rFonts w:hint="eastAsia" w:ascii="仿宋" w:hAnsi="仿宋" w:eastAsia="仿宋" w:cs="仿宋"/>
          <w:sz w:val="24"/>
        </w:rPr>
        <w:t xml:space="preserve"> </w:t>
      </w:r>
    </w:p>
    <w:p w14:paraId="3D1EA860">
      <w:pPr>
        <w:tabs>
          <w:tab w:val="left" w:pos="7394"/>
        </w:tabs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联系人：</w:t>
      </w:r>
    </w:p>
    <w:p w14:paraId="1B9D01EB">
      <w:pPr>
        <w:spacing w:line="30" w:lineRule="atLeas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电话/传真：</w:t>
      </w:r>
    </w:p>
    <w:p w14:paraId="3A53593E">
      <w:pPr>
        <w:tabs>
          <w:tab w:val="left" w:pos="7394"/>
        </w:tabs>
        <w:spacing w:line="360" w:lineRule="auto"/>
        <w:rPr>
          <w:rFonts w:hint="eastAsia" w:ascii="仿宋" w:hAnsi="仿宋" w:eastAsia="仿宋" w:cs="仿宋"/>
          <w:color w:val="000000"/>
          <w:sz w:val="24"/>
          <w:highlight w:val="yellow"/>
        </w:rPr>
      </w:pPr>
    </w:p>
    <w:p w14:paraId="3BB202B4">
      <w:pPr>
        <w:pStyle w:val="2"/>
        <w:rPr>
          <w:rFonts w:hint="eastAsia" w:ascii="仿宋" w:hAnsi="仿宋" w:eastAsia="仿宋" w:cs="仿宋"/>
          <w:sz w:val="24"/>
        </w:rPr>
      </w:pPr>
    </w:p>
    <w:p w14:paraId="6C7FE2CE">
      <w:pPr>
        <w:spacing w:line="360" w:lineRule="auto"/>
        <w:ind w:left="5040" w:hanging="5040" w:hangingChars="2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代理机构：中昕国际项目管理有限公司</w:t>
      </w:r>
    </w:p>
    <w:p w14:paraId="3476FAEB">
      <w:p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地址：陕西省西安市未央区西安经济技术开发区凤城十二路首创禧悦里25幢A座16层</w:t>
      </w:r>
    </w:p>
    <w:p w14:paraId="2B1AFF6E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联系人：吴亮亮 王超 王涛 刘润</w:t>
      </w:r>
    </w:p>
    <w:p w14:paraId="2DC601D8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电话/传真：19991497141</w:t>
      </w:r>
    </w:p>
    <w:p w14:paraId="1C9E0272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5B8D229A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签订地点：陕西省西安市莲湖区西举院巷69号</w:t>
      </w:r>
    </w:p>
    <w:p w14:paraId="0A838196">
      <w:pPr>
        <w:spacing w:line="52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</w:p>
    <w:p w14:paraId="34F73B5C">
      <w:pPr>
        <w:spacing w:line="52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根据《中华人民共和国政府采购法》、《中华人民共和国招标投标法》、《中华人民共和国民法典》规定，西安市儿童医院202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6</w:t>
      </w:r>
      <w:r>
        <w:rPr>
          <w:rFonts w:hint="eastAsia" w:ascii="仿宋" w:hAnsi="仿宋" w:eastAsia="仿宋" w:cs="仿宋"/>
          <w:color w:val="000000"/>
          <w:sz w:val="24"/>
        </w:rPr>
        <w:t>医疗设备采购项目七(项目编号：CT-ZB00-223-2026)由</w:t>
      </w:r>
      <w:r>
        <w:rPr>
          <w:rFonts w:hint="eastAsia" w:ascii="仿宋" w:hAnsi="仿宋" w:eastAsia="仿宋" w:cs="仿宋"/>
          <w:sz w:val="24"/>
        </w:rPr>
        <w:t>中昕国际项目管理有限公司</w:t>
      </w:r>
      <w:r>
        <w:rPr>
          <w:rFonts w:hint="eastAsia" w:ascii="仿宋" w:hAnsi="仿宋" w:eastAsia="仿宋" w:cs="仿宋"/>
          <w:color w:val="000000"/>
          <w:sz w:val="24"/>
        </w:rPr>
        <w:t>采用竞争性磋商方式组织采购。西安市儿童医院(以下简称“甲方”)确定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</w:rPr>
        <w:t>（以下简称“乙方”）为该项目成交供应商。经鉴证方确认，甲、乙双方同意按照下述条款和条件，签署本合同。</w:t>
      </w:r>
    </w:p>
    <w:p w14:paraId="0BF16FF1">
      <w:pPr>
        <w:tabs>
          <w:tab w:val="left" w:pos="48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一、合同标的物的内容及数量</w:t>
      </w:r>
      <w:r>
        <w:rPr>
          <w:rFonts w:hint="eastAsia" w:ascii="仿宋" w:hAnsi="仿宋" w:eastAsia="仿宋" w:cs="仿宋"/>
          <w:color w:val="000000"/>
          <w:sz w:val="24"/>
        </w:rPr>
        <w:t>（以投标文件正本和澄清表〈函〉为准）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386"/>
        <w:gridCol w:w="991"/>
        <w:gridCol w:w="879"/>
        <w:gridCol w:w="1317"/>
        <w:gridCol w:w="1018"/>
        <w:gridCol w:w="1479"/>
        <w:gridCol w:w="886"/>
      </w:tblGrid>
      <w:tr w14:paraId="4D2A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50C47E45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序号</w:t>
            </w:r>
          </w:p>
        </w:tc>
        <w:tc>
          <w:tcPr>
            <w:tcW w:w="1386" w:type="dxa"/>
            <w:noWrap w:val="0"/>
            <w:vAlign w:val="center"/>
          </w:tcPr>
          <w:p w14:paraId="409A53AC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产品名称</w:t>
            </w:r>
          </w:p>
        </w:tc>
        <w:tc>
          <w:tcPr>
            <w:tcW w:w="991" w:type="dxa"/>
            <w:noWrap w:val="0"/>
            <w:vAlign w:val="center"/>
          </w:tcPr>
          <w:p w14:paraId="7BBD8EFB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数量（单位）</w:t>
            </w:r>
          </w:p>
        </w:tc>
        <w:tc>
          <w:tcPr>
            <w:tcW w:w="879" w:type="dxa"/>
            <w:noWrap w:val="0"/>
            <w:vAlign w:val="center"/>
          </w:tcPr>
          <w:p w14:paraId="0E4FD2D5"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品牌</w:t>
            </w:r>
          </w:p>
        </w:tc>
        <w:tc>
          <w:tcPr>
            <w:tcW w:w="1317" w:type="dxa"/>
            <w:noWrap w:val="0"/>
            <w:vAlign w:val="center"/>
          </w:tcPr>
          <w:p w14:paraId="56A66587"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zh-CN"/>
              </w:rPr>
              <w:t>生产厂家</w:t>
            </w:r>
          </w:p>
        </w:tc>
        <w:tc>
          <w:tcPr>
            <w:tcW w:w="1018" w:type="dxa"/>
            <w:noWrap w:val="0"/>
            <w:vAlign w:val="center"/>
          </w:tcPr>
          <w:p w14:paraId="75146B17">
            <w:pPr>
              <w:ind w:left="41" w:hanging="148"/>
              <w:jc w:val="center"/>
              <w:rPr>
                <w:rFonts w:hint="eastAsia" w:ascii="仿宋" w:hAnsi="仿宋" w:eastAsia="仿宋" w:cs="仿宋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szCs w:val="21"/>
                <w:lang w:val="zh-CN"/>
              </w:rPr>
              <w:t>规格</w:t>
            </w:r>
          </w:p>
        </w:tc>
        <w:tc>
          <w:tcPr>
            <w:tcW w:w="1479" w:type="dxa"/>
            <w:noWrap w:val="0"/>
            <w:vAlign w:val="center"/>
          </w:tcPr>
          <w:p w14:paraId="0BF990A4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报价（元）</w:t>
            </w:r>
          </w:p>
        </w:tc>
        <w:tc>
          <w:tcPr>
            <w:tcW w:w="886" w:type="dxa"/>
            <w:noWrap w:val="0"/>
            <w:vAlign w:val="center"/>
          </w:tcPr>
          <w:p w14:paraId="5CB8A367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备注</w:t>
            </w:r>
          </w:p>
        </w:tc>
      </w:tr>
      <w:tr w14:paraId="10115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08C03F14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18"/>
                <w:lang w:val="en-US" w:eastAsia="zh-CN"/>
              </w:rPr>
              <w:t>1</w:t>
            </w:r>
          </w:p>
        </w:tc>
        <w:tc>
          <w:tcPr>
            <w:tcW w:w="1386" w:type="dxa"/>
            <w:noWrap w:val="0"/>
            <w:vAlign w:val="center"/>
          </w:tcPr>
          <w:p w14:paraId="3F383CF7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BA2B34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6241DB63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2678F70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19933534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D048A7E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7C0808CF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659C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73131C1F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2</w:t>
            </w:r>
          </w:p>
        </w:tc>
        <w:tc>
          <w:tcPr>
            <w:tcW w:w="1386" w:type="dxa"/>
            <w:noWrap w:val="0"/>
            <w:vAlign w:val="center"/>
          </w:tcPr>
          <w:p w14:paraId="098422FC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098BB03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30FB2897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58A83549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0C71CE3D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06B2F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09C9A0F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35739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524D053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3</w:t>
            </w:r>
          </w:p>
        </w:tc>
        <w:tc>
          <w:tcPr>
            <w:tcW w:w="1386" w:type="dxa"/>
            <w:noWrap w:val="0"/>
            <w:vAlign w:val="center"/>
          </w:tcPr>
          <w:p w14:paraId="4D8D904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7FE9C5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6999F0A4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01B66B28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1CC3A0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C75F0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14B8D6A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5D25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21F8E018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4</w:t>
            </w:r>
          </w:p>
        </w:tc>
        <w:tc>
          <w:tcPr>
            <w:tcW w:w="1386" w:type="dxa"/>
            <w:noWrap w:val="0"/>
            <w:vAlign w:val="center"/>
          </w:tcPr>
          <w:p w14:paraId="72BC674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F175698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327D0B47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362AEC9B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5092C9FE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C3914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64AC109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1A88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701E7DB2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5</w:t>
            </w:r>
          </w:p>
        </w:tc>
        <w:tc>
          <w:tcPr>
            <w:tcW w:w="1386" w:type="dxa"/>
            <w:noWrap w:val="0"/>
            <w:vAlign w:val="center"/>
          </w:tcPr>
          <w:p w14:paraId="748802F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2BD42A3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0B2D543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highlight w:val="yellow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6FF81E60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  <w:highlight w:val="yellow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7267FB01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37817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4250022C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780CC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6A178425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6</w:t>
            </w:r>
          </w:p>
        </w:tc>
        <w:tc>
          <w:tcPr>
            <w:tcW w:w="1386" w:type="dxa"/>
            <w:noWrap w:val="0"/>
            <w:vAlign w:val="center"/>
          </w:tcPr>
          <w:p w14:paraId="6BF2D31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B8F4AB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1D4E9941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30E96021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5B1A943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4E7D8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4E9F466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7EE5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5CA46050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7</w:t>
            </w:r>
          </w:p>
        </w:tc>
        <w:tc>
          <w:tcPr>
            <w:tcW w:w="1386" w:type="dxa"/>
            <w:noWrap w:val="0"/>
            <w:vAlign w:val="center"/>
          </w:tcPr>
          <w:p w14:paraId="276B86E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4269701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411D7055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2E47937E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79E8AFA4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40FE4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3548313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7940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26838C38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8</w:t>
            </w:r>
          </w:p>
        </w:tc>
        <w:tc>
          <w:tcPr>
            <w:tcW w:w="1386" w:type="dxa"/>
            <w:noWrap w:val="0"/>
            <w:vAlign w:val="center"/>
          </w:tcPr>
          <w:p w14:paraId="7126E2C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631079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2BC20B2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2790AC28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7ACB8E2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7B0357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136BE1E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69BC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4F492DB4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9</w:t>
            </w:r>
          </w:p>
        </w:tc>
        <w:tc>
          <w:tcPr>
            <w:tcW w:w="1386" w:type="dxa"/>
            <w:noWrap w:val="0"/>
            <w:vAlign w:val="center"/>
          </w:tcPr>
          <w:p w14:paraId="03C36F3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492075E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2EA275A6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47B2138D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3F7A71F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CC9A2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574CE51D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56C4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493FB1DD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10</w:t>
            </w:r>
          </w:p>
        </w:tc>
        <w:tc>
          <w:tcPr>
            <w:tcW w:w="1386" w:type="dxa"/>
            <w:noWrap w:val="0"/>
            <w:vAlign w:val="center"/>
          </w:tcPr>
          <w:p w14:paraId="4A8702E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BD9C5D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5F7807DE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B7D957B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19203387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152D30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62EA5693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2F41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663CC63D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11</w:t>
            </w:r>
          </w:p>
        </w:tc>
        <w:tc>
          <w:tcPr>
            <w:tcW w:w="1386" w:type="dxa"/>
            <w:noWrap w:val="0"/>
            <w:vAlign w:val="center"/>
          </w:tcPr>
          <w:p w14:paraId="6DA72AC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5248E6C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16218CAE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2A1A1C2C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4AB69EED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340F1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2FBD7E24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010D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5A13F5D5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12</w:t>
            </w:r>
          </w:p>
        </w:tc>
        <w:tc>
          <w:tcPr>
            <w:tcW w:w="1386" w:type="dxa"/>
            <w:noWrap w:val="0"/>
            <w:vAlign w:val="center"/>
          </w:tcPr>
          <w:p w14:paraId="7AB7CE2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053F26D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2F9B2EB3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0B29EF58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454E40A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400B31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152B1D5B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7743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6C6CF1CF">
            <w:pPr>
              <w:jc w:val="center"/>
              <w:rPr>
                <w:rFonts w:hint="eastAsia" w:ascii="仿宋" w:hAnsi="仿宋" w:eastAsia="仿宋" w:cs="仿宋"/>
                <w:b w:val="0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sz w:val="20"/>
                <w:szCs w:val="18"/>
                <w:lang w:val="en-US" w:eastAsia="zh-CN"/>
              </w:rPr>
              <w:t>13</w:t>
            </w:r>
          </w:p>
        </w:tc>
        <w:tc>
          <w:tcPr>
            <w:tcW w:w="1386" w:type="dxa"/>
            <w:noWrap w:val="0"/>
            <w:vAlign w:val="center"/>
          </w:tcPr>
          <w:p w14:paraId="781FA7F6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864365A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5D4CB708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24BDAF0E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77FA1E90"/>
          <w:p w14:paraId="685752B0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D1131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86" w:type="dxa"/>
            <w:noWrap w:val="0"/>
            <w:vAlign w:val="center"/>
          </w:tcPr>
          <w:p w14:paraId="118B68B9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3000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6" w:type="dxa"/>
            <w:noWrap w:val="0"/>
            <w:vAlign w:val="center"/>
          </w:tcPr>
          <w:p w14:paraId="190669CD">
            <w:pPr>
              <w:jc w:val="center"/>
              <w:rPr>
                <w:rFonts w:hint="default" w:ascii="仿宋" w:hAnsi="仿宋" w:eastAsia="仿宋" w:cs="仿宋"/>
                <w:b w:val="0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0"/>
                <w:szCs w:val="18"/>
                <w:lang w:val="en-US" w:eastAsia="zh-CN"/>
              </w:rPr>
              <w:t>14</w:t>
            </w:r>
          </w:p>
        </w:tc>
        <w:tc>
          <w:tcPr>
            <w:tcW w:w="1386" w:type="dxa"/>
            <w:noWrap w:val="0"/>
            <w:vAlign w:val="center"/>
          </w:tcPr>
          <w:p w14:paraId="70B8D2C0">
            <w:pPr>
              <w:jc w:val="center"/>
              <w:rPr>
                <w:rFonts w:hint="eastAsia" w:ascii="仿宋" w:hAnsi="仿宋" w:eastAsia="仿宋" w:cs="仿宋"/>
                <w:b/>
                <w:sz w:val="20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E4255CB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879" w:type="dxa"/>
            <w:noWrap w:val="0"/>
            <w:vAlign w:val="center"/>
          </w:tcPr>
          <w:p w14:paraId="572C51E3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2BA43EC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4914F410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63BEB2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86" w:type="dxa"/>
            <w:noWrap w:val="0"/>
            <w:vAlign w:val="center"/>
          </w:tcPr>
          <w:p w14:paraId="00D3430E"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</w:tr>
      <w:tr w14:paraId="16BC5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52" w:type="dxa"/>
            <w:gridSpan w:val="2"/>
            <w:noWrap w:val="0"/>
            <w:vAlign w:val="center"/>
          </w:tcPr>
          <w:p w14:paraId="0057299E">
            <w:pPr>
              <w:widowControl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合计（元）</w:t>
            </w:r>
          </w:p>
          <w:p w14:paraId="5869D9F8">
            <w:pPr>
              <w:widowControl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570" w:type="dxa"/>
            <w:gridSpan w:val="6"/>
            <w:noWrap w:val="0"/>
            <w:vAlign w:val="center"/>
          </w:tcPr>
          <w:p w14:paraId="7262D527">
            <w:pPr>
              <w:widowControl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大写：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（含税价）</w:t>
            </w:r>
            <w:r>
              <w:rPr>
                <w:rFonts w:hint="eastAsia" w:ascii="仿宋" w:hAnsi="仿宋" w:eastAsia="仿宋" w:cs="仿宋"/>
                <w:szCs w:val="21"/>
              </w:rPr>
              <w:t>小写：¥</w:t>
            </w:r>
          </w:p>
        </w:tc>
      </w:tr>
    </w:tbl>
    <w:p w14:paraId="35F9B710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产品配置：见附件</w:t>
      </w:r>
    </w:p>
    <w:p w14:paraId="7DADB4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二、合同价款</w:t>
      </w:r>
    </w:p>
    <w:p w14:paraId="04A37C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（一）合同含税总价款为人民币（大写）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¥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)。</w:t>
      </w:r>
    </w:p>
    <w:p w14:paraId="4EB312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（二）合同含税总价包括：货物费、运输费（含保险费）、安装调试费、检测验收费、相关税费及其它全部费用。</w:t>
      </w:r>
    </w:p>
    <w:p w14:paraId="007B534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（三）合同含税总价一次性包死，不受市场价格变化因素的影响。</w:t>
      </w:r>
    </w:p>
    <w:p w14:paraId="42960B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三、款项结算</w:t>
      </w:r>
    </w:p>
    <w:p w14:paraId="79E26C27">
      <w:pPr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（一）乙方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应于</w:t>
      </w:r>
      <w:r>
        <w:rPr>
          <w:rFonts w:hint="eastAsia" w:ascii="仿宋" w:hAnsi="仿宋" w:eastAsia="仿宋" w:cs="仿宋"/>
          <w:color w:val="000000"/>
          <w:sz w:val="24"/>
        </w:rPr>
        <w:t>收到中标通知书后3日内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</w:rPr>
        <w:t>向甲方缴纳中标金额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</w:rPr>
        <w:t>，金额为大写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。乙方须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按照</w:t>
      </w:r>
      <w:r>
        <w:rPr>
          <w:rFonts w:hint="eastAsia" w:ascii="仿宋" w:hAnsi="仿宋" w:eastAsia="仿宋" w:cs="仿宋"/>
          <w:color w:val="000000"/>
          <w:sz w:val="24"/>
        </w:rPr>
        <w:t>投标文件中响应的交货期按时交货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</w:rPr>
        <w:t>并提供全额合规发票保证"货票同行"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货物</w:t>
      </w:r>
      <w:r>
        <w:rPr>
          <w:rFonts w:hint="eastAsia" w:ascii="仿宋" w:hAnsi="仿宋" w:eastAsia="仿宋" w:cs="仿宋"/>
          <w:color w:val="000000"/>
          <w:sz w:val="24"/>
        </w:rPr>
        <w:t>到达甲方指定地点，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4"/>
        </w:rPr>
        <w:t>安装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4"/>
        </w:rPr>
        <w:t>调试完毕并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经甲方</w:t>
      </w:r>
      <w:r>
        <w:rPr>
          <w:rFonts w:hint="eastAsia" w:ascii="仿宋" w:hAnsi="仿宋" w:eastAsia="仿宋" w:cs="仿宋"/>
          <w:color w:val="000000"/>
          <w:sz w:val="24"/>
        </w:rPr>
        <w:t>验收合格后，甲方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于</w:t>
      </w:r>
      <w:r>
        <w:rPr>
          <w:rFonts w:hint="eastAsia" w:ascii="仿宋" w:hAnsi="仿宋" w:eastAsia="仿宋" w:cs="仿宋"/>
          <w:color w:val="000000"/>
          <w:sz w:val="24"/>
        </w:rPr>
        <w:t>10天内支付合同总价款的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</w:rPr>
        <w:t>，金额为大写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: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（¥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)</w:t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 w14:paraId="0EF2335C">
      <w:pPr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（二）自设备</w:t>
      </w:r>
      <w:r>
        <w:rPr>
          <w:rFonts w:hint="eastAsia" w:ascii="仿宋" w:hAnsi="仿宋" w:eastAsia="仿宋" w:cs="仿宋"/>
          <w:color w:val="000000"/>
          <w:sz w:val="24"/>
        </w:rPr>
        <w:t>验收合格之日起满三年，期间设备无质量问题的，乙方应在届满后对产品进行全面维护保养，确保设备能够正常运行。乙方完成前述维护保养并经甲方确认设备正常使用后，甲方30天内退还保证金，合同总价款的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%</w:t>
      </w:r>
      <w:r>
        <w:rPr>
          <w:rFonts w:hint="eastAsia" w:ascii="仿宋" w:hAnsi="仿宋" w:eastAsia="仿宋" w:cs="仿宋"/>
          <w:color w:val="000000"/>
          <w:sz w:val="24"/>
        </w:rPr>
        <w:t>，金额为大写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: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（¥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)</w:t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 w14:paraId="09BD7EB9">
      <w:pPr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甲方付款前，若乙方不开具发票或开具发票不符合要求，则甲方有权拒付款项，无需承担任何责任，且乙方不得以该理由拒绝履行合同义务。</w:t>
      </w:r>
    </w:p>
    <w:p w14:paraId="064E52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（三）支付方式：银行转账。</w:t>
      </w:r>
    </w:p>
    <w:p w14:paraId="65B4F4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u w:val="single"/>
        </w:rPr>
        <w:t>开户银行：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          </w:t>
      </w:r>
    </w:p>
    <w:p w14:paraId="174320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u w:val="single"/>
        </w:rPr>
        <w:t>银行帐号：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          </w:t>
      </w:r>
    </w:p>
    <w:p w14:paraId="4B877F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四、产品交货</w:t>
      </w:r>
      <w:r>
        <w:rPr>
          <w:rFonts w:hint="eastAsia" w:ascii="仿宋" w:hAnsi="仿宋" w:eastAsia="仿宋" w:cs="仿宋"/>
          <w:b/>
          <w:color w:val="000000"/>
          <w:sz w:val="24"/>
          <w:lang w:val="en-US" w:eastAsia="zh-CN"/>
        </w:rPr>
        <w:t xml:space="preserve">  </w:t>
      </w:r>
    </w:p>
    <w:p w14:paraId="1FFA8A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000000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>（一）交货单位：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           </w:t>
      </w:r>
    </w:p>
    <w:p w14:paraId="031B13C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（二）运输方式：陆运，乙方负责送货上门</w:t>
      </w:r>
    </w:p>
    <w:p w14:paraId="7CFF340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（三）到货地点：陕西省西安市莲湖区西举院巷69号 </w:t>
      </w:r>
    </w:p>
    <w:p w14:paraId="746C20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（四）收货单位：西安市儿童医院</w:t>
      </w:r>
      <w:r>
        <w:rPr>
          <w:rFonts w:hint="eastAsia" w:ascii="仿宋" w:hAnsi="仿宋" w:eastAsia="仿宋" w:cs="仿宋"/>
          <w:b/>
          <w:color w:val="000000"/>
          <w:sz w:val="24"/>
        </w:rPr>
        <w:t xml:space="preserve"> </w:t>
      </w:r>
    </w:p>
    <w:p w14:paraId="7F962B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（五）交货期限：自合同签订之日起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内完成交货并安装调试并保证设备正常运行。</w:t>
      </w:r>
    </w:p>
    <w:p w14:paraId="44E33F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五、运输及保险费</w:t>
      </w:r>
    </w:p>
    <w:p w14:paraId="27BE1B1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b w:val="0"/>
          <w:color w:val="000000"/>
          <w:sz w:val="24"/>
        </w:rPr>
      </w:pPr>
      <w:r>
        <w:rPr>
          <w:rFonts w:ascii="仿宋" w:hAnsi="仿宋" w:eastAsia="仿宋" w:cs="仿宋"/>
          <w:b w:val="0"/>
          <w:color w:val="000000"/>
          <w:sz w:val="24"/>
        </w:rPr>
        <w:t>运输及保险费由乙方承担，乙方并承担运输过程中的一切损失。</w:t>
      </w:r>
    </w:p>
    <w:p w14:paraId="7C2072F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六、产品质保</w:t>
      </w:r>
    </w:p>
    <w:p w14:paraId="781D7B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（一）服务要求：质保期内，若发现产品存在设计缺陷或质量问题，乙方应负责解决并承担全部费用，甲方有权要求退款退货。</w:t>
      </w:r>
    </w:p>
    <w:p w14:paraId="7E84B8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（二）质保期：乙方完成产品安装调试，经甲方验收合格之日起开始质保，整机质保</w:t>
      </w:r>
      <w:r>
        <w:rPr>
          <w:rFonts w:hint="eastAsia" w:ascii="仿宋" w:hAnsi="仿宋" w:eastAsia="仿宋" w:cs="仿宋"/>
          <w:b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年。</w:t>
      </w:r>
    </w:p>
    <w:p w14:paraId="510B34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1）质保期内：乙方提供免费质保服务，免收材料和人工等一切费用。产品发生故障时，乙方须在接到维修通知2小时内提供解决问题的详细方案，24小时内到达现场并对有故障的设备进行维护，48小时内处理好故障；若不能在规定时间内修好的，乙方无条件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免费</w:t>
      </w:r>
      <w:r>
        <w:rPr>
          <w:rFonts w:hint="eastAsia" w:ascii="仿宋" w:hAnsi="仿宋" w:eastAsia="仿宋" w:cs="仿宋"/>
          <w:color w:val="000000"/>
          <w:sz w:val="24"/>
        </w:rPr>
        <w:t>提供备用机。</w:t>
      </w:r>
    </w:p>
    <w:p w14:paraId="07C72B7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乙方承诺提供每个季度不少于一次的上门回访、检修的售后服务。</w:t>
      </w:r>
    </w:p>
    <w:p w14:paraId="5FAFCEF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2）质保期满：乙方提供返修服务，免收人工费，仅收取更换配件的成本费；并定期派技术人员到现场走访，提供检查维护服务。发生维修费用，乙方先修后付款；零备件采购实行“先交货后付款”，甲方凭乙方提供的零备件采购付款凭证支付对应款项。乙方更换的备件必须是正规厂家出厂的合格正品，并保证在所提供设备停产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后</w:t>
      </w:r>
      <w:r>
        <w:rPr>
          <w:rFonts w:hint="eastAsia" w:ascii="仿宋" w:hAnsi="仿宋" w:eastAsia="仿宋" w:cs="仿宋"/>
          <w:color w:val="000000"/>
          <w:sz w:val="24"/>
        </w:rPr>
        <w:t>5年内提供维修所需配件。</w:t>
      </w:r>
    </w:p>
    <w:p w14:paraId="222617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（三）开机率：设备开机率达到95%以上（365天），故障率低于5%（365天）。设备出现故障，乙方应在2小时内快速响应，24小时内到达现场，48小时内处理好故障，如72小时内无法修复设备，乙方提供备用机。若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单</w:t>
      </w:r>
      <w:r>
        <w:rPr>
          <w:rFonts w:hint="eastAsia" w:ascii="仿宋" w:hAnsi="仿宋" w:eastAsia="仿宋" w:cs="仿宋"/>
          <w:color w:val="000000"/>
          <w:sz w:val="24"/>
        </w:rPr>
        <w:t>次故障超过24小时，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或</w:t>
      </w:r>
      <w:r>
        <w:rPr>
          <w:rFonts w:hint="eastAsia" w:ascii="仿宋" w:hAnsi="仿宋" w:eastAsia="仿宋" w:cs="仿宋"/>
          <w:color w:val="000000"/>
          <w:sz w:val="24"/>
        </w:rPr>
        <w:t>全年故障累计超过15天，每超过一天，乙方应按该设备日均治疗病人产生的收入向甲方支付赔偿金，赔偿金从质量保证金内扣除；若质保金不足以扣除，</w:t>
      </w:r>
      <w:r>
        <w:rPr>
          <w:rFonts w:hint="eastAsia" w:ascii="仿宋" w:hAnsi="仿宋" w:eastAsia="仿宋" w:cs="仿宋"/>
          <w:color w:val="000000"/>
          <w:sz w:val="24"/>
          <w:shd w:val="clear" w:color="auto" w:fill="FFFFFF"/>
        </w:rPr>
        <w:t>不足部分由</w:t>
      </w:r>
      <w:r>
        <w:rPr>
          <w:rFonts w:hint="eastAsia" w:ascii="仿宋" w:hAnsi="仿宋" w:eastAsia="仿宋" w:cs="仿宋"/>
          <w:color w:val="000000"/>
          <w:sz w:val="24"/>
        </w:rPr>
        <w:t>由乙方承担。</w:t>
      </w:r>
    </w:p>
    <w:p w14:paraId="363ABF0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（四）质保期结束前，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乙方</w:t>
      </w:r>
      <w:r>
        <w:rPr>
          <w:rFonts w:hint="eastAsia" w:ascii="仿宋" w:hAnsi="仿宋" w:eastAsia="仿宋" w:cs="仿宋"/>
          <w:color w:val="000000"/>
          <w:sz w:val="24"/>
        </w:rPr>
        <w:t>应对设备进行系统测试及全面保养维护，确保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设备</w:t>
      </w:r>
      <w:r>
        <w:rPr>
          <w:rFonts w:hint="eastAsia" w:ascii="仿宋" w:hAnsi="仿宋" w:eastAsia="仿宋" w:cs="仿宋"/>
          <w:color w:val="000000"/>
          <w:sz w:val="24"/>
        </w:rPr>
        <w:t>正常运行。</w:t>
      </w:r>
    </w:p>
    <w:p w14:paraId="7BFE0C2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七、技术资料</w:t>
      </w:r>
    </w:p>
    <w:p w14:paraId="089A52F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乙方应向甲方提供以下单据：</w:t>
      </w:r>
    </w:p>
    <w:p w14:paraId="2865209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1.产品质量合格证一份。</w:t>
      </w:r>
    </w:p>
    <w:p w14:paraId="12B9A7E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2.质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检报告</w:t>
      </w:r>
      <w:r>
        <w:rPr>
          <w:rFonts w:hint="eastAsia" w:ascii="仿宋" w:hAnsi="仿宋" w:eastAsia="仿宋" w:cs="仿宋"/>
          <w:color w:val="000000"/>
          <w:sz w:val="24"/>
        </w:rPr>
        <w:t>一份。</w:t>
      </w:r>
    </w:p>
    <w:p w14:paraId="6A7C6C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3.装箱单一份。</w:t>
      </w:r>
    </w:p>
    <w:p w14:paraId="4092BB3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4.购货发票一份。</w:t>
      </w:r>
    </w:p>
    <w:p w14:paraId="67C4F1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5.中文操作说明书一份。</w:t>
      </w:r>
    </w:p>
    <w:p w14:paraId="1225FFA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八、验收</w:t>
      </w:r>
    </w:p>
    <w:p w14:paraId="14D02BC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甲乙双方参照招标书、投标书、本合同及承诺条款的有关内容、配置要求等验收。验收过程和步骤应符合国家、部委有关规定，符合质量检验、商检部门和甲方的规定。验收费用由乙方承担。甲方收货时对产品的外观检查或开箱清点，不能免除乙方对产品内在质量承担的责任。</w:t>
      </w:r>
    </w:p>
    <w:p w14:paraId="30EDFF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（二）验收依据： </w:t>
      </w:r>
    </w:p>
    <w:p w14:paraId="51C07FB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（1）合同约定的质量标准和技术要求。</w:t>
      </w:r>
    </w:p>
    <w:p w14:paraId="7F6223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（2）货物原产地证明、出厂质量检验合格证书、质量保修证书等与产品相关的证书。</w:t>
      </w:r>
    </w:p>
    <w:p w14:paraId="1BA92FC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（3）乙方应向甲方提供设备性能的测试程序、测试手段和测试标准。</w:t>
      </w:r>
    </w:p>
    <w:p w14:paraId="702255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（三）验收方式：</w:t>
      </w:r>
    </w:p>
    <w:p w14:paraId="1E8212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（1）设备送达指定地点后，由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甲乙</w:t>
      </w:r>
      <w:r>
        <w:rPr>
          <w:rFonts w:hint="eastAsia" w:ascii="仿宋" w:hAnsi="仿宋" w:eastAsia="仿宋" w:cs="仿宋"/>
          <w:color w:val="000000"/>
          <w:sz w:val="24"/>
        </w:rPr>
        <w:t>双方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负责人</w:t>
      </w:r>
      <w:r>
        <w:rPr>
          <w:rFonts w:hint="eastAsia" w:ascii="仿宋" w:hAnsi="仿宋" w:eastAsia="仿宋" w:cs="仿宋"/>
          <w:color w:val="000000"/>
          <w:sz w:val="24"/>
        </w:rPr>
        <w:t>共同核对单据、检查外包装、开箱清点数量，经检验无误后共同签署货物交接单。</w:t>
      </w:r>
    </w:p>
    <w:p w14:paraId="5BFD6E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（2）设备安装调试、技术培训完成后，双方</w:t>
      </w:r>
      <w:r>
        <w:rPr>
          <w:rFonts w:hint="eastAsia" w:ascii="仿宋" w:hAnsi="仿宋" w:eastAsia="仿宋" w:cs="仿宋"/>
          <w:color w:val="000000"/>
          <w:sz w:val="24"/>
          <w:shd w:val="clear" w:color="auto" w:fill="FFFFFF"/>
        </w:rPr>
        <w:t>共同对设备性能、配置等进行全面检测，</w:t>
      </w:r>
      <w:r>
        <w:rPr>
          <w:rFonts w:hint="eastAsia" w:ascii="仿宋" w:hAnsi="仿宋" w:eastAsia="仿宋" w:cs="仿宋"/>
          <w:color w:val="000000"/>
          <w:sz w:val="24"/>
        </w:rPr>
        <w:t>检查合格后填写货物验收单。</w:t>
      </w:r>
    </w:p>
    <w:p w14:paraId="5F53BB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（四）乙方向甲方提交货物实施过程中的所有资料，以便甲方日后管理和维护。</w:t>
      </w:r>
    </w:p>
    <w:p w14:paraId="5BDA8F9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九、培训</w:t>
      </w:r>
    </w:p>
    <w:p w14:paraId="3658D7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装机后，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乙方应当对</w:t>
      </w:r>
      <w:r>
        <w:rPr>
          <w:rFonts w:hint="eastAsia" w:ascii="仿宋" w:hAnsi="仿宋" w:eastAsia="仿宋" w:cs="仿宋"/>
          <w:color w:val="000000"/>
          <w:sz w:val="24"/>
        </w:rPr>
        <w:t>对现场有关的技术人员、医生和维修工程师进行培训直至双方认证合格；培训费及相关费用由乙方承担。</w:t>
      </w:r>
    </w:p>
    <w:p w14:paraId="42E405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十、伴随服务</w:t>
      </w:r>
    </w:p>
    <w:p w14:paraId="48D50C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（一）乙方应随每套货物向甲方交付该套设备和仪器的中文技术文件，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包括但不限于</w:t>
      </w:r>
      <w:r>
        <w:rPr>
          <w:rFonts w:hint="eastAsia" w:ascii="仿宋" w:hAnsi="仿宋" w:eastAsia="仿宋" w:cs="仿宋"/>
          <w:color w:val="000000"/>
          <w:sz w:val="24"/>
        </w:rPr>
        <w:t>产品目录、图纸、操作手册、使用说明、维护手册或服务指南等。</w:t>
      </w:r>
    </w:p>
    <w:p w14:paraId="0600000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（二）对于合同附件中有要求的货物，乙方还应提供下列服务：</w:t>
      </w:r>
    </w:p>
    <w:p w14:paraId="2E5A0E3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1、货物的现场安装、调试和启动监督。</w:t>
      </w:r>
    </w:p>
    <w:p w14:paraId="6A6B9D8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2、提供货物组装和维修所需的工具，提供货物调试所需的试剂、耗材等。</w:t>
      </w:r>
    </w:p>
    <w:p w14:paraId="430683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3、在双方商定期限内对所供货物实施运行监督、维修（该服务不免除乙方在质量保证期内应承担的义务）。</w:t>
      </w:r>
    </w:p>
    <w:p w14:paraId="637DF93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4、在厂家或在项目现场，就货物的安装、启动、运营、维护对甲方人员进行培训。</w:t>
      </w:r>
    </w:p>
    <w:p w14:paraId="06CDB1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（三）伴随服务的费用已含在合同价中，不单独进行支付。</w:t>
      </w:r>
    </w:p>
    <w:p w14:paraId="4F0943E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十一、安全责任</w:t>
      </w:r>
    </w:p>
    <w:p w14:paraId="0B81D7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（一）乙方负责产品安装、调试、试运行，直至通过甲方验收。</w:t>
      </w:r>
    </w:p>
    <w:p w14:paraId="6387499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（二）安装期间，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乙方</w:t>
      </w:r>
      <w:r>
        <w:rPr>
          <w:rFonts w:hint="eastAsia" w:ascii="仿宋" w:hAnsi="仿宋" w:eastAsia="仿宋" w:cs="仿宋"/>
          <w:color w:val="000000"/>
          <w:sz w:val="24"/>
        </w:rPr>
        <w:t>负责保管设备部件及成品、半成品的保护与防盗工作，直至甲方验收合格。</w:t>
      </w:r>
    </w:p>
    <w:p w14:paraId="116B7A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（三）乙方负责安装人员的食、宿费用、社会保障费（养老保险、失业保险、医疗保险、工伤保险、残疾人就业保险、女工生育保险）；住房公积金和危险作业意外伤害保险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等费用</w:t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 w14:paraId="2C1416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（四）乙方负责安装质量的自检验收，配合甲方验收；如有检测费用，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则该检测费用由</w:t>
      </w:r>
      <w:r>
        <w:rPr>
          <w:rFonts w:hint="eastAsia" w:ascii="仿宋" w:hAnsi="仿宋" w:eastAsia="仿宋" w:cs="仿宋"/>
          <w:color w:val="000000"/>
          <w:sz w:val="24"/>
        </w:rPr>
        <w:t>乙方承担。</w:t>
      </w:r>
    </w:p>
    <w:p w14:paraId="46A3081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（五）乙方负责由于安装质量问题造成的整改和重新验收相关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费用</w:t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 w14:paraId="52E2F87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十二、对产品提出的有关异议</w:t>
      </w:r>
    </w:p>
    <w:p w14:paraId="13CBE2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甲方在验收中，如果发现产品的生产厂家、产地、品种、型号和质量不符合规定，应向乙方提出书面异议；对于不符合规定的产品，甲方有权拒付该产品货款，并且不承担拒绝付款的责任。异议期间产生的保管、仓储等一切费用由乙方承担。</w:t>
      </w:r>
    </w:p>
    <w:p w14:paraId="043EFC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（二）甲方因违规操作造成产品质量下降的，不得提出异议。</w:t>
      </w:r>
    </w:p>
    <w:p w14:paraId="42F1FE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（三）乙方在接到甲方书面异议后，应在7个工作日内负责处理；否则即视为默认甲方提出的异议和处理意见，且应当在3日内更换符合规定的产品。。</w:t>
      </w:r>
    </w:p>
    <w:p w14:paraId="03FBCCB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乙方所交付的产品品种、型号、规格、质量不符合合同约定的，如甲方同意利用，价格由双方另行商议；如果甲方不同意利用，乙方应该负责无偿调换至符合合同约定，并承担由此发生的一切费用。由此导致延迟交货的，按照</w:t>
      </w:r>
      <w:r>
        <w:rPr>
          <w:rFonts w:hint="eastAsia" w:ascii="仿宋" w:hAnsi="仿宋" w:eastAsia="仿宋" w:cs="仿宋"/>
          <w:color w:val="000000"/>
          <w:sz w:val="24"/>
          <w:shd w:val="clear" w:color="auto" w:fill="FFFFFF"/>
        </w:rPr>
        <w:t>本合同第十三条第（一）款的约定承担违约责任。</w:t>
      </w:r>
    </w:p>
    <w:p w14:paraId="4964373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十三、违约责任</w:t>
      </w:r>
    </w:p>
    <w:p w14:paraId="3E8062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（一）乙方未事先征得甲方同意而单方面延迟交货，每延期一天，支付全部货款1%的赔偿金；延迟交货超过20天的，视为违约，甲方有权单方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解除</w:t>
      </w:r>
      <w:r>
        <w:rPr>
          <w:rFonts w:hint="eastAsia" w:ascii="仿宋" w:hAnsi="仿宋" w:eastAsia="仿宋" w:cs="仿宋"/>
          <w:color w:val="000000"/>
          <w:sz w:val="24"/>
        </w:rPr>
        <w:t>合同，合同自书面解除通知书送达（即使拒收）乙方之日起解除，且乙方应向甲方支付本合同全部货款30%的违约金。</w:t>
      </w:r>
    </w:p>
    <w:p w14:paraId="197250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乙方交付货物的品种、规格型号、数量、产地等不符合合同约定的，应在甲方规定的时间内调换至合格，并承担因此产生的运输、保管、仓储等费用。由此导致延迟交货的，按照本条第（一）款承担违约责任。若货物不符合合同约定的情形累计达两次，甲方有权解除合同，且乙方应向甲方支付全部货款的30％的违约金。</w:t>
      </w:r>
    </w:p>
    <w:p w14:paraId="58AC61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（三）因乙方原因不能交货，甲方有权单方解除合同，合同自书面解除通知书送达（即使拒收）乙方之日起解除，并且乙方应向甲方支付全部货款的30%的违约金。</w:t>
      </w:r>
    </w:p>
    <w:p w14:paraId="0AA820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（四）若乙方提供的售后服务不符合本合同约定，甲方有权选择第三方进行服务，质保期内所产生的服务费用由乙方全部承担；质保期外，甲方有权自行选择服务方。</w:t>
      </w:r>
    </w:p>
    <w:p w14:paraId="4580E1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五）因乙方违约行为或产品质量问题发生纠纷、安全事故均由乙方负责，因此给甲方造成损失的，乙方应向甲方全部赔偿，包括但不限于甲方的全部经济损失、对第三人的赔偿以及甲方可能支出的律师费、保全费、交通费、诉讼费等费用。</w:t>
      </w:r>
    </w:p>
    <w:p w14:paraId="02DA854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十四、合同争议解决的方式</w:t>
      </w:r>
    </w:p>
    <w:p w14:paraId="2FE7CB6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本合同在履行过程中发生的争议，当事人双方应本着友好、实事求是的态度及时协商解决，协商不成的，依法向甲方所在地人民法院起诉。</w:t>
      </w:r>
    </w:p>
    <w:p w14:paraId="7FABDE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十五、合同生效及其他</w:t>
      </w:r>
    </w:p>
    <w:p w14:paraId="211D9BD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（一）按照本协议规定应该偿付的违约金、赔偿金、保管费和各种经济损失，应在责任明确后10天内，按照银行规定的结算办法付清，否则，按逾期付款处理。</w:t>
      </w:r>
    </w:p>
    <w:p w14:paraId="386CFE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（二）本协议和附件及招、投标文件具有同等法律效力，本协议未尽事宜，以招标文件、投标文件中响应的为准。本合同所有附件是本合同不可分割的部分,与主合同具有同等法律效力。</w:t>
      </w:r>
    </w:p>
    <w:p w14:paraId="58998C0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（三）本协议严格保密，不得向第三方泄露。</w:t>
      </w:r>
    </w:p>
    <w:p w14:paraId="12F844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（四）乙方承诺在业务往来过程中，不向甲方人员赠送现金、物品或以其他形式给予甲方人员利益。</w:t>
      </w:r>
    </w:p>
    <w:p w14:paraId="186D5B5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（五）本协议自甲乙双方签字并盖章之日起生效。协议执行期内，甲乙双方均不得随意变更或解除协议，协议如有未尽事宜，须双方共同协商，做出补充规定（或协议），补充协议与本协议具有同等法律效力。</w:t>
      </w:r>
      <w:r>
        <w:rPr>
          <w:rFonts w:hint="eastAsia" w:ascii="仿宋" w:hAnsi="仿宋" w:eastAsia="仿宋" w:cs="仿宋"/>
          <w:sz w:val="24"/>
        </w:rPr>
        <w:t>本合同一式柒份，甲方伍份，乙方执壹份，代理机构壹份，</w:t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 w14:paraId="48553D71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6E466198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（以下无正文）</w:t>
      </w:r>
    </w:p>
    <w:p w14:paraId="3479635F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71D06221"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 w14:paraId="7D2B3840">
      <w:pPr>
        <w:pStyle w:val="4"/>
        <w:rPr>
          <w:rFonts w:hint="eastAsia" w:ascii="仿宋" w:hAnsi="仿宋" w:eastAsia="仿宋" w:cs="仿宋"/>
          <w:color w:val="000000"/>
          <w:sz w:val="24"/>
        </w:rPr>
      </w:pPr>
    </w:p>
    <w:p w14:paraId="22691E1B">
      <w:pPr>
        <w:rPr>
          <w:rFonts w:hint="eastAsia" w:ascii="仿宋" w:hAnsi="仿宋" w:eastAsia="仿宋" w:cs="仿宋"/>
          <w:color w:val="000000"/>
          <w:sz w:val="24"/>
        </w:rPr>
      </w:pPr>
    </w:p>
    <w:p w14:paraId="0457E327">
      <w:pPr>
        <w:pStyle w:val="4"/>
        <w:rPr>
          <w:rFonts w:hint="eastAsia" w:ascii="仿宋" w:hAnsi="仿宋" w:eastAsia="仿宋" w:cs="仿宋"/>
          <w:color w:val="000000"/>
          <w:sz w:val="24"/>
        </w:rPr>
      </w:pPr>
    </w:p>
    <w:p w14:paraId="6DE1E1AD">
      <w:pPr>
        <w:rPr>
          <w:rFonts w:hint="eastAsia" w:ascii="仿宋" w:hAnsi="仿宋" w:eastAsia="仿宋" w:cs="仿宋"/>
          <w:color w:val="000000"/>
          <w:sz w:val="24"/>
        </w:rPr>
      </w:pPr>
    </w:p>
    <w:p w14:paraId="6F6F8A13">
      <w:pPr>
        <w:pStyle w:val="4"/>
        <w:rPr>
          <w:rFonts w:hint="eastAsia"/>
        </w:rPr>
      </w:pPr>
    </w:p>
    <w:p w14:paraId="67690129">
      <w:pPr>
        <w:rPr>
          <w:rFonts w:hint="eastAsia"/>
        </w:rPr>
      </w:pPr>
    </w:p>
    <w:p w14:paraId="2D2093E8">
      <w:pPr>
        <w:rPr>
          <w:rFonts w:hint="eastAsia"/>
        </w:rPr>
      </w:pPr>
    </w:p>
    <w:p w14:paraId="04CA6AFE">
      <w:pPr>
        <w:pStyle w:val="4"/>
        <w:rPr>
          <w:rFonts w:hint="eastAsia"/>
        </w:rPr>
      </w:pPr>
    </w:p>
    <w:p w14:paraId="6B8CE5DA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方（法人公章）                 乙  方（法人公章）</w:t>
      </w:r>
    </w:p>
    <w:p w14:paraId="5015B349">
      <w:pPr>
        <w:ind w:left="5520" w:hanging="5520" w:hangingChars="2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单位名称：西安市儿童医院           单位名称:                </w:t>
      </w:r>
    </w:p>
    <w:p w14:paraId="6CFB401D">
      <w:pPr>
        <w:ind w:left="4560" w:hanging="4560" w:hangingChars="19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  址：陕西省西安市莲湖区</w:t>
      </w:r>
    </w:p>
    <w:p w14:paraId="01FB3317">
      <w:pPr>
        <w:ind w:left="5286" w:leftChars="460" w:hanging="4320" w:hangingChars="1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西举院巷69号              地  址：</w:t>
      </w:r>
    </w:p>
    <w:p w14:paraId="6356214D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法定代表人：                       法定代表人： </w:t>
      </w:r>
    </w:p>
    <w:p w14:paraId="07016E32">
      <w:pPr>
        <w:rPr>
          <w:rFonts w:hint="eastAsia" w:ascii="仿宋" w:hAnsi="仿宋" w:eastAsia="仿宋" w:cs="仿宋"/>
          <w:sz w:val="24"/>
        </w:rPr>
      </w:pPr>
    </w:p>
    <w:p w14:paraId="0A37C118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经办人：                           经办人：</w:t>
      </w:r>
    </w:p>
    <w:p w14:paraId="2582EBB1">
      <w:pPr>
        <w:ind w:left="5270" w:leftChars="1938" w:hanging="1200" w:hangingChars="5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开户银行:</w:t>
      </w:r>
    </w:p>
    <w:p w14:paraId="29378D4C">
      <w:pPr>
        <w:ind w:firstLine="4080" w:firstLineChars="17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帐    号：</w:t>
      </w:r>
    </w:p>
    <w:p w14:paraId="11D4A98D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签订日期：       年  月  日       签订日期：      年  月  日</w:t>
      </w:r>
    </w:p>
    <w:p w14:paraId="0CA7FAC3">
      <w:pPr>
        <w:spacing w:line="360" w:lineRule="auto"/>
        <w:ind w:left="5040" w:hanging="5040" w:hangingChars="2100"/>
        <w:rPr>
          <w:rFonts w:hint="eastAsia" w:ascii="仿宋" w:hAnsi="仿宋" w:eastAsia="仿宋" w:cs="仿宋"/>
          <w:sz w:val="24"/>
        </w:rPr>
      </w:pPr>
    </w:p>
    <w:p w14:paraId="0E05F19B">
      <w:pPr>
        <w:spacing w:line="360" w:lineRule="auto"/>
        <w:ind w:left="5040" w:hanging="5040" w:hangingChars="2100"/>
        <w:rPr>
          <w:rFonts w:hint="eastAsia" w:ascii="仿宋" w:hAnsi="仿宋" w:eastAsia="仿宋" w:cs="仿宋"/>
          <w:sz w:val="24"/>
        </w:rPr>
      </w:pPr>
    </w:p>
    <w:p w14:paraId="757FE2F3">
      <w:pPr>
        <w:spacing w:line="360" w:lineRule="auto"/>
        <w:ind w:left="5040" w:hanging="5040" w:hangingChars="2100"/>
        <w:rPr>
          <w:rFonts w:hint="eastAsia" w:ascii="仿宋" w:hAnsi="仿宋" w:eastAsia="仿宋" w:cs="仿宋"/>
          <w:sz w:val="24"/>
        </w:rPr>
      </w:pPr>
    </w:p>
    <w:p w14:paraId="6E59EE25">
      <w:pPr>
        <w:spacing w:line="360" w:lineRule="auto"/>
        <w:ind w:left="5040" w:hanging="5040" w:hangingChars="2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代理机构（业务专用章）</w:t>
      </w:r>
    </w:p>
    <w:p w14:paraId="36DC47E5">
      <w:pPr>
        <w:spacing w:line="360" w:lineRule="auto"/>
        <w:ind w:left="5040" w:hanging="5040" w:hangingChars="2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单位名称：中昕国际项目管理有限公司</w:t>
      </w:r>
    </w:p>
    <w:p w14:paraId="56F8C477">
      <w:pPr>
        <w:spacing w:line="360" w:lineRule="auto"/>
        <w:ind w:left="0" w:firstLine="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地址： 陕西省西安市未央区西安经济技术开发区凤城十二路首创禧悦里25幢A座16层</w:t>
      </w:r>
    </w:p>
    <w:p w14:paraId="644D959D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代理人：吴亮亮 王超 王涛 刘润 </w:t>
      </w:r>
    </w:p>
    <w:p w14:paraId="198CF631">
      <w:pPr>
        <w:spacing w:line="312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时间：    年     月    日</w:t>
      </w:r>
    </w:p>
    <w:p w14:paraId="521978A2">
      <w:r>
        <w:rPr>
          <w:rFonts w:hint="eastAsia" w:ascii="仿宋" w:hAnsi="仿宋" w:eastAsia="仿宋" w:cs="仿宋"/>
          <w:sz w:val="24"/>
        </w:rPr>
        <w:t>电话/传真：19991497141</w:t>
      </w:r>
    </w:p>
    <w:p w14:paraId="571355EA">
      <w:pPr>
        <w:pStyle w:val="4"/>
      </w:pPr>
    </w:p>
    <w:p w14:paraId="6F25F3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514F1"/>
    <w:rsid w:val="3525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/>
      <w:b/>
      <w:color w:val="000000"/>
      <w:sz w:val="32"/>
    </w:rPr>
  </w:style>
  <w:style w:type="paragraph" w:styleId="3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2026-08-26T07:22:00Z</dcterms:created>
  <dc:creator>豆豆</dc:creator>
  <cp:lastModifiedBy>豆豆</cp:lastModifiedBy>
  <dcterms:modified xsi:type="dcterms:W3CDTF">2026-08-26T07:22:59Z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02FAB15136624E1EB73ADA87F75E371C_11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