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版本号：ZJHZ-ZC2602820260723002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工业自动化控制实训室建设项目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ZJHZ-ZC26028</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工业自动化控制实训室建设项目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ZJHZ-ZC26028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工业自动化控制实训室建设项目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为满足装备制造大类专业办学的迫切需求，开展工业自动化控制实训室建设工作，采购并安装虚拟实训与实物实训相结合的工业自动化控制实训设备，用于保障工业自动控制相关课程实践教学工作开展。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身份证明：投标人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授权书：投标人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pPr>
        <w:pStyle w:val="null3"/>
      </w:pPr>
      <w:r>
        <w:rPr>
          <w:rFonts w:ascii="仿宋_GB2312" w:hAnsi="仿宋_GB2312" w:cs="仿宋_GB2312" w:eastAsia="仿宋_GB2312"/>
        </w:rPr>
        <w:t>3、汉中市政府采购供应商资格承诺函：投标人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投标人应按照汉中市财政局《关于全面推行政府采购投标人基本资格条件承诺制的通知》（汉采办采管〔2024〕20号）文件要求，须提供《汉中市政府采购投标人资格承诺函》）。（材料应清晰可辨并进行电子签章）</w:t>
      </w:r>
    </w:p>
    <w:p>
      <w:pPr>
        <w:pStyle w:val="null3"/>
      </w:pPr>
      <w:r>
        <w:rPr>
          <w:rFonts w:ascii="仿宋_GB2312" w:hAnsi="仿宋_GB2312" w:cs="仿宋_GB2312" w:eastAsia="仿宋_GB2312"/>
        </w:rPr>
        <w:t>4、非联合体磋商声明函：本项目不接受联合体磋商（提供非联合体声明）。（材料应清晰可辨并进行电子签章）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0916-2896956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说明：合同签订后3日内按合同约定缴纳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为工业自动化控制实训室设备采购项目，履约实施过程中形成的设备安装调试资料、实训指导方案、设备操作规程、系统配置文件、配套实训教学资料等全部成果知识产权归属采购人所有。供应商仅限将上述资料用于本项目履约，不得擅自外泄、二次复用、商业使用，项目验收时须完整移交全部资料，相关知识产权侵权责任由供应商自行承担。</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为满足装备制造大类专业办学的迫切需求，开展工业自动化控制实训室建设工作，采购并安装虚拟实训与实物实训相结合的工业自动化控制实训设备，用于保障工业自动控制相关课程实践教学工作开展。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1,160,000.00</w:t>
      </w:r>
    </w:p>
    <w:p>
      <w:pPr>
        <w:pStyle w:val="null3"/>
      </w:pPr>
      <w:r>
        <w:rPr>
          <w:rFonts w:ascii="仿宋_GB2312" w:hAnsi="仿宋_GB2312" w:cs="仿宋_GB2312" w:eastAsia="仿宋_GB2312"/>
        </w:rPr>
        <w:t>采购包最高限价（元）: 1,160,000.00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工业自动化控制实训室设备采购项目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标的名称：工业自动化控制实训室设备采购项目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名称：智能制造通识教育实训平台</w:t>
            </w:r>
            <w:r>
              <w:br/>
            </w:r>
            <w:r>
              <w:rPr>
                <w:rFonts w:ascii="仿宋_GB2312" w:hAnsi="仿宋_GB2312" w:cs="仿宋_GB2312" w:eastAsia="仿宋_GB2312"/>
                <w:sz w:val="21"/>
              </w:rPr>
              <w:t>数量：</w:t>
            </w:r>
            <w:r>
              <w:rPr>
                <w:rFonts w:ascii="仿宋_GB2312" w:hAnsi="仿宋_GB2312" w:cs="仿宋_GB2312" w:eastAsia="仿宋_GB2312"/>
                <w:sz w:val="21"/>
              </w:rPr>
              <w:t>16套</w:t>
            </w:r>
            <w:r>
              <w:br/>
            </w:r>
            <w:r>
              <w:rPr>
                <w:rFonts w:ascii="仿宋_GB2312" w:hAnsi="仿宋_GB2312" w:cs="仿宋_GB2312" w:eastAsia="仿宋_GB2312"/>
                <w:sz w:val="21"/>
              </w:rPr>
              <w:t>（一）智能制造通识教育实训平台必须能够支撑起一个从认知到实践的闭环教学项目。从项目认知阶段的理论导入、案例拆解，到实践阶段的任务分工、协作实操，再到复盘阶段的成果评估、问题优化，平台需提供全流程的教学工具与资源支持，确保每个教学环节环环相扣、无缝衔接，助力师生完成从知识输入到能力输出的完整转化，构建起一套可落地、可追溯、可优化的项目式教学闭环体系。（提供项目式教学教材样章以及项目式教学实物场景照片不少于</w:t>
            </w:r>
            <w:r>
              <w:rPr>
                <w:rFonts w:ascii="仿宋_GB2312" w:hAnsi="仿宋_GB2312" w:cs="仿宋_GB2312" w:eastAsia="仿宋_GB2312"/>
                <w:sz w:val="21"/>
              </w:rPr>
              <w:t>5张，加盖投标人公章）</w:t>
            </w:r>
          </w:p>
          <w:p>
            <w:pPr>
              <w:pStyle w:val="null3"/>
              <w:jc w:val="both"/>
            </w:pPr>
            <w:r>
              <w:rPr>
                <w:rFonts w:ascii="仿宋_GB2312" w:hAnsi="仿宋_GB2312" w:cs="仿宋_GB2312" w:eastAsia="仿宋_GB2312"/>
                <w:sz w:val="21"/>
              </w:rPr>
              <w:t>（二）控制系统</w:t>
            </w:r>
          </w:p>
          <w:p>
            <w:pPr>
              <w:pStyle w:val="null3"/>
              <w:jc w:val="both"/>
            </w:pPr>
            <w:r>
              <w:rPr>
                <w:rFonts w:ascii="仿宋_GB2312" w:hAnsi="仿宋_GB2312" w:cs="仿宋_GB2312" w:eastAsia="仿宋_GB2312"/>
                <w:sz w:val="21"/>
              </w:rPr>
              <w:t>1. 1套可编程控制器</w:t>
            </w:r>
          </w:p>
          <w:p>
            <w:pPr>
              <w:pStyle w:val="null3"/>
              <w:jc w:val="both"/>
            </w:pPr>
            <w:r>
              <w:rPr>
                <w:rFonts w:ascii="仿宋_GB2312" w:hAnsi="仿宋_GB2312" w:cs="仿宋_GB2312" w:eastAsia="仿宋_GB2312"/>
                <w:sz w:val="21"/>
              </w:rPr>
              <w:t>控制器</w:t>
            </w:r>
            <w:r>
              <w:rPr>
                <w:rFonts w:ascii="仿宋_GB2312" w:hAnsi="仿宋_GB2312" w:cs="仿宋_GB2312" w:eastAsia="仿宋_GB2312"/>
                <w:sz w:val="21"/>
              </w:rPr>
              <w:t>CPU：≥1个PROFINET接口，≥2个接入端口；I/O：≥32个24V DC数字量输入、≥32个24V DC 数字量输出、≥4个模拟量输入AI、≥2个模拟量输出AQ；程序/数据存储器≥ 1.5MB。</w:t>
            </w:r>
          </w:p>
          <w:p>
            <w:pPr>
              <w:pStyle w:val="null3"/>
              <w:jc w:val="both"/>
            </w:pPr>
            <w:r>
              <w:rPr>
                <w:rFonts w:ascii="仿宋_GB2312" w:hAnsi="仿宋_GB2312" w:cs="仿宋_GB2312" w:eastAsia="仿宋_GB2312"/>
                <w:sz w:val="21"/>
              </w:rPr>
              <w:t>2.导轨：集成DIN导轨。</w:t>
            </w:r>
          </w:p>
          <w:p>
            <w:pPr>
              <w:pStyle w:val="null3"/>
              <w:jc w:val="both"/>
            </w:pPr>
            <w:r>
              <w:rPr>
                <w:rFonts w:ascii="仿宋_GB2312" w:hAnsi="仿宋_GB2312" w:cs="仿宋_GB2312" w:eastAsia="仿宋_GB2312"/>
                <w:sz w:val="21"/>
              </w:rPr>
              <w:t>3.存储卡：闪存≥3.3V，容量≥24 MB。</w:t>
            </w:r>
          </w:p>
          <w:p>
            <w:pPr>
              <w:pStyle w:val="null3"/>
              <w:jc w:val="both"/>
            </w:pPr>
            <w:r>
              <w:rPr>
                <w:rFonts w:ascii="仿宋_GB2312" w:hAnsi="仿宋_GB2312" w:cs="仿宋_GB2312" w:eastAsia="仿宋_GB2312"/>
                <w:sz w:val="21"/>
              </w:rPr>
              <w:t>4.网线：工业以太网TP XP Cord RJ45/RJ45，CAT 6A，交叉 TP 导线 4x2，预制，带有≥2个RJ45连接器。</w:t>
            </w:r>
          </w:p>
          <w:p>
            <w:pPr>
              <w:pStyle w:val="null3"/>
              <w:jc w:val="both"/>
            </w:pPr>
            <w:r>
              <w:rPr>
                <w:rFonts w:ascii="仿宋_GB2312" w:hAnsi="仿宋_GB2312" w:cs="仿宋_GB2312" w:eastAsia="仿宋_GB2312"/>
                <w:sz w:val="21"/>
              </w:rPr>
              <w:t>5.软件：提供永久授权（非订阅制），包含软件安装介质（U 盘 / 光盘）及正版专业版（Prof）授权密钥。编程软件需支持梯形图（LAD）、功能块图（FBD）、语句表（STL）、结构化控制语言（SCL）、图形化顺序控制（Graph）等多种编程方式。原生支持 PROFINET IO、PROFIBUS DP、MPI、以太网 / IP、Modbus TCP 等主流工业通信协议，可实现 PLC 与上位机、触摸屏、第三方设备的通信组态。</w:t>
            </w:r>
          </w:p>
          <w:p>
            <w:pPr>
              <w:pStyle w:val="null3"/>
              <w:jc w:val="both"/>
            </w:pPr>
            <w:r>
              <w:rPr>
                <w:rFonts w:ascii="仿宋_GB2312" w:hAnsi="仿宋_GB2312" w:cs="仿宋_GB2312" w:eastAsia="仿宋_GB2312"/>
                <w:sz w:val="21"/>
              </w:rPr>
              <w:t>6.按照1套硬件配套1套软件的比例，配套正版编程软件与工程组态软件专业版授权，同时编程软件套件可以对控制器、人机界面进行统一的项目规划和控制操作，实现数据的统一存储，确保整个项目内数据一致性；编程软件与工程组态软件需与可编程控制器为同一品牌。（在投标文件中需要提供专业版编程软件授权密钥的照片）</w:t>
            </w:r>
          </w:p>
          <w:p>
            <w:pPr>
              <w:pStyle w:val="null3"/>
              <w:jc w:val="both"/>
            </w:pPr>
            <w:r>
              <w:rPr>
                <w:rFonts w:ascii="仿宋_GB2312" w:hAnsi="仿宋_GB2312" w:cs="仿宋_GB2312" w:eastAsia="仿宋_GB2312"/>
                <w:sz w:val="21"/>
              </w:rPr>
              <w:t>（三）人机界面</w:t>
            </w:r>
          </w:p>
          <w:p>
            <w:pPr>
              <w:pStyle w:val="null3"/>
              <w:jc w:val="both"/>
            </w:pPr>
            <w:r>
              <w:rPr>
                <w:rFonts w:ascii="仿宋_GB2312" w:hAnsi="仿宋_GB2312" w:cs="仿宋_GB2312" w:eastAsia="仿宋_GB2312"/>
                <w:sz w:val="21"/>
              </w:rPr>
              <w:t>1. 1套HMI人机界面。</w:t>
            </w:r>
          </w:p>
          <w:p>
            <w:pPr>
              <w:pStyle w:val="null3"/>
              <w:jc w:val="both"/>
            </w:pPr>
            <w:r>
              <w:rPr>
                <w:rFonts w:ascii="仿宋_GB2312" w:hAnsi="仿宋_GB2312" w:cs="仿宋_GB2312" w:eastAsia="仿宋_GB2312"/>
                <w:sz w:val="21"/>
              </w:rPr>
              <w:t>（四）逻辑编程控制对象单元</w:t>
            </w:r>
          </w:p>
          <w:p>
            <w:pPr>
              <w:pStyle w:val="null3"/>
              <w:jc w:val="both"/>
            </w:pPr>
            <w:r>
              <w:rPr>
                <w:rFonts w:ascii="仿宋_GB2312" w:hAnsi="仿宋_GB2312" w:cs="仿宋_GB2312" w:eastAsia="仿宋_GB2312"/>
                <w:sz w:val="21"/>
              </w:rPr>
              <w:t>1.模拟信号：用来模拟信号在现场开路和短路情况。≥1个电压表,测量AQ输出电压；≥1个直滑电阻，提供0～12V直流电压信号；≥8路开关;≥8路LED显示；</w:t>
            </w:r>
          </w:p>
          <w:p>
            <w:pPr>
              <w:pStyle w:val="null3"/>
              <w:jc w:val="both"/>
            </w:pPr>
            <w:r>
              <w:rPr>
                <w:rFonts w:ascii="仿宋_GB2312" w:hAnsi="仿宋_GB2312" w:cs="仿宋_GB2312" w:eastAsia="仿宋_GB2312"/>
                <w:sz w:val="21"/>
              </w:rPr>
              <w:t>2.对象卡</w:t>
            </w:r>
          </w:p>
          <w:p>
            <w:pPr>
              <w:pStyle w:val="null3"/>
              <w:jc w:val="both"/>
            </w:pPr>
            <w:r>
              <w:rPr>
                <w:rFonts w:ascii="仿宋_GB2312" w:hAnsi="仿宋_GB2312" w:cs="仿宋_GB2312" w:eastAsia="仿宋_GB2312"/>
                <w:sz w:val="21"/>
              </w:rPr>
              <w:t>≥1套配套教学使用的对象卡，包括：自动浇花、自动门、流水灯、提升机、隧道车流控制、红绿灯。</w:t>
            </w:r>
          </w:p>
          <w:p>
            <w:pPr>
              <w:pStyle w:val="null3"/>
              <w:jc w:val="both"/>
            </w:pPr>
            <w:r>
              <w:rPr>
                <w:rFonts w:ascii="仿宋_GB2312" w:hAnsi="仿宋_GB2312" w:cs="仿宋_GB2312" w:eastAsia="仿宋_GB2312"/>
                <w:sz w:val="21"/>
              </w:rPr>
              <w:t>3.工业以太网数据交互模块</w:t>
            </w:r>
          </w:p>
          <w:p>
            <w:pPr>
              <w:pStyle w:val="null3"/>
              <w:jc w:val="both"/>
            </w:pPr>
            <w:r>
              <w:rPr>
                <w:rFonts w:ascii="仿宋_GB2312" w:hAnsi="仿宋_GB2312" w:cs="仿宋_GB2312" w:eastAsia="仿宋_GB2312"/>
                <w:sz w:val="21"/>
              </w:rPr>
              <w:t>用于架设小型星状和线状结构，</w:t>
            </w:r>
            <w:r>
              <w:rPr>
                <w:rFonts w:ascii="仿宋_GB2312" w:hAnsi="仿宋_GB2312" w:cs="仿宋_GB2312" w:eastAsia="仿宋_GB2312"/>
                <w:sz w:val="21"/>
              </w:rPr>
              <w:t>LED诊断，≥5口数据交互模块。</w:t>
            </w:r>
          </w:p>
          <w:p>
            <w:pPr>
              <w:pStyle w:val="null3"/>
              <w:jc w:val="both"/>
            </w:pPr>
            <w:r>
              <w:rPr>
                <w:rFonts w:ascii="仿宋_GB2312" w:hAnsi="仿宋_GB2312" w:cs="仿宋_GB2312" w:eastAsia="仿宋_GB2312"/>
                <w:sz w:val="21"/>
              </w:rPr>
              <w:t>（五）外置输入</w:t>
            </w:r>
            <w:r>
              <w:rPr>
                <w:rFonts w:ascii="仿宋_GB2312" w:hAnsi="仿宋_GB2312" w:cs="仿宋_GB2312" w:eastAsia="仿宋_GB2312"/>
                <w:sz w:val="21"/>
              </w:rPr>
              <w:t>/输出接口单元</w:t>
            </w:r>
          </w:p>
          <w:p>
            <w:pPr>
              <w:pStyle w:val="null3"/>
              <w:jc w:val="both"/>
            </w:pPr>
            <w:r>
              <w:rPr>
                <w:rFonts w:ascii="仿宋_GB2312" w:hAnsi="仿宋_GB2312" w:cs="仿宋_GB2312" w:eastAsia="仿宋_GB2312"/>
                <w:sz w:val="21"/>
              </w:rPr>
              <w:t>1.提供系统创意单元及学校原有设备的接线连接。≥8个数字量输入通道、≥8个数字量输出通道、≥2个模拟量输入通道、≥1个模拟量输出通道、≥3组24VDC 供电通道。</w:t>
            </w:r>
          </w:p>
          <w:p>
            <w:pPr>
              <w:pStyle w:val="null3"/>
              <w:jc w:val="both"/>
            </w:pPr>
            <w:r>
              <w:rPr>
                <w:rFonts w:ascii="仿宋_GB2312" w:hAnsi="仿宋_GB2312" w:cs="仿宋_GB2312" w:eastAsia="仿宋_GB2312"/>
                <w:sz w:val="21"/>
              </w:rPr>
              <w:t>（六）系统实训控制单元</w:t>
            </w:r>
          </w:p>
          <w:p>
            <w:pPr>
              <w:pStyle w:val="null3"/>
              <w:jc w:val="both"/>
            </w:pPr>
            <w:r>
              <w:rPr>
                <w:rFonts w:ascii="仿宋_GB2312" w:hAnsi="仿宋_GB2312" w:cs="仿宋_GB2312" w:eastAsia="仿宋_GB2312"/>
                <w:sz w:val="21"/>
              </w:rPr>
              <w:t>1.≥1个按钮盒（四孔）、≥1个温湿度变送器、≥1个漫反射激光传感器、≥4个节流阀、≥1个电磁阀（单控）、≥1个电磁阀（双控）、≥2个气缸、≥6mm气管、≥25个香蕉头信号线。</w:t>
            </w:r>
          </w:p>
          <w:p>
            <w:pPr>
              <w:pStyle w:val="null3"/>
              <w:jc w:val="both"/>
            </w:pPr>
            <w:r>
              <w:rPr>
                <w:rFonts w:ascii="仿宋_GB2312" w:hAnsi="仿宋_GB2312" w:cs="仿宋_GB2312" w:eastAsia="仿宋_GB2312"/>
                <w:sz w:val="21"/>
              </w:rPr>
              <w:t>（七）设备平台</w:t>
            </w:r>
          </w:p>
          <w:p>
            <w:pPr>
              <w:pStyle w:val="null3"/>
              <w:jc w:val="both"/>
            </w:pPr>
            <w:r>
              <w:rPr>
                <w:rFonts w:ascii="仿宋_GB2312" w:hAnsi="仿宋_GB2312" w:cs="仿宋_GB2312" w:eastAsia="仿宋_GB2312"/>
                <w:sz w:val="21"/>
              </w:rPr>
              <w:t>1.网孔式标准控制台，尺寸≥H2000mm*W800mm*D800mm；及设备集成。</w:t>
            </w:r>
          </w:p>
          <w:p>
            <w:pPr>
              <w:pStyle w:val="null3"/>
              <w:jc w:val="both"/>
            </w:pPr>
            <w:r>
              <w:rPr>
                <w:rFonts w:ascii="仿宋_GB2312" w:hAnsi="仿宋_GB2312" w:cs="仿宋_GB2312" w:eastAsia="仿宋_GB2312"/>
                <w:sz w:val="21"/>
              </w:rPr>
              <w:t>2.≥2个对象运行平台。</w:t>
            </w:r>
          </w:p>
          <w:p>
            <w:pPr>
              <w:pStyle w:val="null3"/>
              <w:jc w:val="both"/>
            </w:pPr>
            <w:r>
              <w:rPr>
                <w:rFonts w:ascii="仿宋_GB2312" w:hAnsi="仿宋_GB2312" w:cs="仿宋_GB2312" w:eastAsia="仿宋_GB2312"/>
                <w:sz w:val="21"/>
              </w:rPr>
              <w:t>（八）单部电梯虚拟仿真软件（提供</w:t>
            </w:r>
            <w:r>
              <w:rPr>
                <w:rFonts w:ascii="仿宋_GB2312" w:hAnsi="仿宋_GB2312" w:cs="仿宋_GB2312" w:eastAsia="仿宋_GB2312"/>
                <w:sz w:val="21"/>
              </w:rPr>
              <w:t>1套单部电梯虚拟仿真软件的授权）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基于虚拟现实技术的三维可视化环境。应用虚拟现实技术，能够对电梯轿厢在楼层间运行过程中的多种工作条件和故障模式进行实时仿真，该系统满足情景再现与工程再现使得学习人员可以根据电梯运作情况和位置优先度进行操控从而达到教学/培训的效果。（提供软件界面截图至少包含俯视图、电梯正面图和电梯背面图，加盖投标人公章）</w:t>
            </w:r>
          </w:p>
          <w:p>
            <w:pPr>
              <w:pStyle w:val="null3"/>
              <w:jc w:val="both"/>
            </w:pPr>
            <w:r>
              <w:rPr>
                <w:rFonts w:ascii="仿宋_GB2312" w:hAnsi="仿宋_GB2312" w:cs="仿宋_GB2312" w:eastAsia="仿宋_GB2312"/>
                <w:sz w:val="21"/>
              </w:rPr>
              <w:t>2.电梯控制数学模型，能够任意配置呼叫乘客，以及配置可以考察控制效果的评分规则。</w:t>
            </w:r>
          </w:p>
          <w:p>
            <w:pPr>
              <w:pStyle w:val="null3"/>
              <w:jc w:val="both"/>
            </w:pPr>
            <w:r>
              <w:rPr>
                <w:rFonts w:ascii="仿宋_GB2312" w:hAnsi="仿宋_GB2312" w:cs="仿宋_GB2312" w:eastAsia="仿宋_GB2312"/>
                <w:sz w:val="21"/>
              </w:rPr>
              <w:t>3.支持Profibus DP现场总线及OPC通信方式。</w:t>
            </w:r>
          </w:p>
          <w:p>
            <w:pPr>
              <w:pStyle w:val="null3"/>
              <w:jc w:val="both"/>
            </w:pPr>
            <w:r>
              <w:rPr>
                <w:rFonts w:ascii="仿宋_GB2312" w:hAnsi="仿宋_GB2312" w:cs="仿宋_GB2312" w:eastAsia="仿宋_GB2312"/>
                <w:sz w:val="21"/>
              </w:rPr>
              <w:t>4.可开设的实验清单：控制器连接与组态，电梯启停控制，电梯楼层信号控制，电梯外呼内选信号控制，电梯开关门控制，电梯开关门故障保护。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5.支持手动和自动模式。（提供软件功能截图，加盖投标人公章）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6.具有电梯楼层信号控制功能。（提供软件功能截图，加盖投标人公章）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7.具有电梯外呼内选信号控制功能。（提供软件功能截图，加盖投标人公章）</w:t>
            </w:r>
          </w:p>
          <w:p>
            <w:pPr>
              <w:pStyle w:val="null3"/>
              <w:jc w:val="both"/>
            </w:pPr>
            <w:r>
              <w:rPr>
                <w:rFonts w:ascii="仿宋_GB2312" w:hAnsi="仿宋_GB2312" w:cs="仿宋_GB2312" w:eastAsia="仿宋_GB2312"/>
                <w:sz w:val="21"/>
              </w:rPr>
              <w:t>（九）液位控制虚拟仿真软件（</w:t>
            </w:r>
            <w:r>
              <w:rPr>
                <w:rFonts w:ascii="仿宋_GB2312" w:hAnsi="仿宋_GB2312" w:cs="仿宋_GB2312" w:eastAsia="仿宋_GB2312"/>
                <w:sz w:val="21"/>
              </w:rPr>
              <w:t>1套＋授权）</w:t>
            </w:r>
          </w:p>
          <w:p>
            <w:pPr>
              <w:pStyle w:val="null3"/>
              <w:jc w:val="both"/>
            </w:pPr>
            <w:r>
              <w:rPr>
                <w:rFonts w:ascii="仿宋_GB2312" w:hAnsi="仿宋_GB2312" w:cs="仿宋_GB2312" w:eastAsia="仿宋_GB2312"/>
                <w:sz w:val="21"/>
              </w:rPr>
              <w:t>1.基于虚拟现实技术的三维可视化环境。提供软件功能截图，加盖投标人公章</w:t>
            </w:r>
          </w:p>
          <w:p>
            <w:pPr>
              <w:pStyle w:val="null3"/>
              <w:jc w:val="both"/>
            </w:pPr>
            <w:r>
              <w:rPr>
                <w:rFonts w:ascii="仿宋_GB2312" w:hAnsi="仿宋_GB2312" w:cs="仿宋_GB2312" w:eastAsia="仿宋_GB2312"/>
                <w:sz w:val="21"/>
              </w:rPr>
              <w:t>2.液位系统支持物料走向演示。</w:t>
            </w:r>
          </w:p>
          <w:p>
            <w:pPr>
              <w:pStyle w:val="null3"/>
              <w:jc w:val="both"/>
            </w:pPr>
            <w:r>
              <w:rPr>
                <w:rFonts w:ascii="仿宋_GB2312" w:hAnsi="仿宋_GB2312" w:cs="仿宋_GB2312" w:eastAsia="仿宋_GB2312"/>
                <w:sz w:val="21"/>
              </w:rPr>
              <w:t>3.液位系统被控对象为卧式储罐，支持设备尺寸、工艺参数自定义。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4.液位系统至少含有2个调节阀、2个手操阀门，支持阀门流通能力、作用形式、阀门开度自定义。</w:t>
            </w:r>
          </w:p>
          <w:p>
            <w:pPr>
              <w:pStyle w:val="null3"/>
              <w:jc w:val="both"/>
            </w:pPr>
            <w:r>
              <w:rPr>
                <w:rFonts w:ascii="仿宋_GB2312" w:hAnsi="仿宋_GB2312" w:cs="仿宋_GB2312" w:eastAsia="仿宋_GB2312"/>
                <w:sz w:val="21"/>
              </w:rPr>
              <w:t>5.液位系统至少含有1个离心泵，支持离心泵参数自定义。</w:t>
            </w:r>
          </w:p>
          <w:p>
            <w:pPr>
              <w:pStyle w:val="null3"/>
              <w:jc w:val="both"/>
            </w:pPr>
            <w:r>
              <w:rPr>
                <w:rFonts w:ascii="仿宋_GB2312" w:hAnsi="仿宋_GB2312" w:cs="仿宋_GB2312" w:eastAsia="仿宋_GB2312"/>
                <w:sz w:val="21"/>
              </w:rPr>
              <w:t>6.液位系统至少含有液位仪表、流量仪表、温度仪表。</w:t>
            </w:r>
          </w:p>
          <w:p>
            <w:pPr>
              <w:pStyle w:val="null3"/>
              <w:jc w:val="both"/>
            </w:pPr>
            <w:r>
              <w:rPr>
                <w:rFonts w:ascii="仿宋_GB2312" w:hAnsi="仿宋_GB2312" w:cs="仿宋_GB2312" w:eastAsia="仿宋_GB2312"/>
                <w:sz w:val="21"/>
              </w:rPr>
              <w:t>7.液位系统支持外接PLC控制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8.支持以太网通信方式。（提供软件功能截图，加盖投标人公章）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9.支持手/自动模式。（提供软件功能截图，加盖投标人公章）</w:t>
            </w:r>
          </w:p>
          <w:p>
            <w:pPr>
              <w:pStyle w:val="null3"/>
              <w:jc w:val="both"/>
            </w:pPr>
            <w:r>
              <w:rPr>
                <w:rFonts w:ascii="仿宋_GB2312" w:hAnsi="仿宋_GB2312" w:cs="仿宋_GB2312" w:eastAsia="仿宋_GB2312"/>
                <w:sz w:val="21"/>
              </w:rPr>
              <w:t>10.液位控制虚拟仿真软件功能要求：</w:t>
            </w:r>
          </w:p>
          <w:p>
            <w:pPr>
              <w:pStyle w:val="null3"/>
              <w:jc w:val="both"/>
            </w:pPr>
            <w:r>
              <w:rPr>
                <w:rFonts w:ascii="仿宋_GB2312" w:hAnsi="仿宋_GB2312" w:cs="仿宋_GB2312" w:eastAsia="仿宋_GB2312"/>
                <w:sz w:val="21"/>
              </w:rPr>
              <w:t>●（1）系统参数配置：支持自定义上游压力、下游压力、泵的开闭与扬程等基础参数；可设置储液罐的半径、高度等结构参数，适配不同实验场景需求。</w:t>
            </w:r>
          </w:p>
          <w:p>
            <w:pPr>
              <w:pStyle w:val="null3"/>
              <w:jc w:val="both"/>
            </w:pPr>
            <w:r>
              <w:rPr>
                <w:rFonts w:ascii="仿宋_GB2312" w:hAnsi="仿宋_GB2312" w:cs="仿宋_GB2312" w:eastAsia="仿宋_GB2312"/>
                <w:sz w:val="21"/>
              </w:rPr>
              <w:t>●（2）阀门精细化配置：包含≥2个核心调节阀，支持阀门流通能力（≥100m³/(h*Bar)）、作用形式（气开阀/气关阀）自定义，阀门开度可通过PLC程序或手动操作实现0-100%调节。</w:t>
            </w:r>
          </w:p>
          <w:p>
            <w:pPr>
              <w:pStyle w:val="null3"/>
              <w:jc w:val="both"/>
            </w:pPr>
            <w:r>
              <w:rPr>
                <w:rFonts w:ascii="仿宋_GB2312" w:hAnsi="仿宋_GB2312" w:cs="仿宋_GB2312" w:eastAsia="仿宋_GB2312"/>
                <w:sz w:val="21"/>
              </w:rPr>
              <w:t>●（3）调试与扰动测试：支持手动添加扰动（如调整出口阀门开度），观察液位动态响应与控制系统调节效果；</w:t>
            </w:r>
          </w:p>
          <w:p>
            <w:pPr>
              <w:pStyle w:val="null3"/>
              <w:jc w:val="both"/>
            </w:pPr>
            <w:r>
              <w:rPr>
                <w:rFonts w:ascii="仿宋_GB2312" w:hAnsi="仿宋_GB2312" w:cs="仿宋_GB2312" w:eastAsia="仿宋_GB2312"/>
                <w:sz w:val="21"/>
              </w:rPr>
              <w:t>（十）智能制造数字化产线仿真系统软件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能够模拟智能产线标准版的主件供料站，并且能够实现模拟仿真主件供料站中，位置传感器、气缸，传送装置的相应功能，实现工作站的三维虚拟仿真。（需提供软件运行截图包含仿真模型中涵盖的位置传感器、气缸、传送装置等元器件）</w:t>
            </w:r>
          </w:p>
          <w:p>
            <w:pPr>
              <w:pStyle w:val="null3"/>
              <w:jc w:val="both"/>
            </w:pPr>
            <w:r>
              <w:rPr>
                <w:rFonts w:ascii="仿宋_GB2312" w:hAnsi="仿宋_GB2312" w:cs="仿宋_GB2312" w:eastAsia="仿宋_GB2312"/>
                <w:sz w:val="21"/>
              </w:rPr>
              <w:t>▲2.支持与PLC通过以太网通信方式进行数据交换，即可实现被PLC实时控制；支持PLC信息以及数据类型等属性的灵活组态配置；支持多视角对模拟工作站进行观察，至少包含远景与近距离视角；支持系统配置文件的保存与读取；支持通信数据监视功能。（提供软件功能截图，加盖投标人公章）</w:t>
            </w:r>
          </w:p>
          <w:p>
            <w:pPr>
              <w:pStyle w:val="null3"/>
              <w:jc w:val="both"/>
            </w:pPr>
            <w:r>
              <w:rPr>
                <w:rFonts w:ascii="仿宋_GB2312" w:hAnsi="仿宋_GB2312" w:cs="仿宋_GB2312" w:eastAsia="仿宋_GB2312"/>
                <w:sz w:val="21"/>
              </w:rPr>
              <w:t>（十四）课程资源</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具有《智能制造通识教育实训平台-系统实训区》实验指导书，实验指导书包含课程的学习目标、原理知识说明或具体的实施步骤。（提供实验指导书样章，包含课程的学习目标、原理知识说明或具体的实施步骤，并加盖投标人公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有《智能制造通识教育实训平台-对象卡》实验指导书，实验指导书包含课程的学习目标、相关的基础知识或具体的实施步骤及任务、包含实际设备而非虚构设备。（提供实验指导书样章，包含与实际设备一致的硬件构成介绍内容及截图，并加盖投标人公章）。</w:t>
            </w:r>
          </w:p>
          <w:p>
            <w:pPr>
              <w:pStyle w:val="null3"/>
            </w:pPr>
            <w:r>
              <w:rPr>
                <w:rFonts w:ascii="仿宋_GB2312" w:hAnsi="仿宋_GB2312" w:cs="仿宋_GB2312" w:eastAsia="仿宋_GB2312"/>
                <w:sz w:val="21"/>
              </w:rPr>
              <w:t>▲</w:t>
            </w:r>
            <w:r>
              <w:rPr>
                <w:rFonts w:ascii="仿宋_GB2312" w:hAnsi="仿宋_GB2312" w:cs="仿宋_GB2312" w:eastAsia="仿宋_GB2312"/>
                <w:sz w:val="21"/>
              </w:rPr>
              <w:t>3.具有《智能制造数字化产线仿真系统》实验指导书，实验指导书包含仿真系统的具体实施步骤、虚拟结构、界面及总体布局。（提供实验指导书样章，包含虚拟结构、界面、总体或局部视图和5张教学视频截图，并加盖投标人公章）。</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名称：小车直线运动控制系统模型</w:t>
            </w:r>
          </w:p>
          <w:p>
            <w:pPr>
              <w:pStyle w:val="null3"/>
              <w:jc w:val="both"/>
            </w:pPr>
            <w:r>
              <w:rPr>
                <w:rFonts w:ascii="仿宋_GB2312" w:hAnsi="仿宋_GB2312" w:cs="仿宋_GB2312" w:eastAsia="仿宋_GB2312"/>
                <w:sz w:val="21"/>
              </w:rPr>
              <w:t>数量：</w:t>
            </w:r>
            <w:r>
              <w:rPr>
                <w:rFonts w:ascii="仿宋_GB2312" w:hAnsi="仿宋_GB2312" w:cs="仿宋_GB2312" w:eastAsia="仿宋_GB2312"/>
                <w:sz w:val="21"/>
              </w:rPr>
              <w:t>16套</w:t>
            </w:r>
          </w:p>
          <w:p>
            <w:pPr>
              <w:pStyle w:val="null3"/>
              <w:jc w:val="both"/>
            </w:pPr>
            <w:r>
              <w:rPr>
                <w:rFonts w:ascii="仿宋_GB2312" w:hAnsi="仿宋_GB2312" w:cs="仿宋_GB2312" w:eastAsia="仿宋_GB2312"/>
                <w:sz w:val="21"/>
              </w:rPr>
              <w:t>1.单相AC220V伺服驱动器，功率≥0.2KW，额定转速≥3000转；包含三种控制模式无缝切换：位置控制、速度控制、转矩控制；配置伺服电机，额定功率≥200W，额定转速≥3000rpm，额定扭矩≥0.32N.m。</w:t>
            </w:r>
          </w:p>
          <w:p>
            <w:pPr>
              <w:pStyle w:val="null3"/>
              <w:jc w:val="both"/>
            </w:pPr>
            <w:r>
              <w:rPr>
                <w:rFonts w:ascii="仿宋_GB2312" w:hAnsi="仿宋_GB2312" w:cs="仿宋_GB2312" w:eastAsia="仿宋_GB2312"/>
                <w:sz w:val="21"/>
              </w:rPr>
              <w:t>2.对象：包含滚珠丝杆、联轴器、刻度尺≥1个、接近开关≥3个、安装底板、控制接口等。</w:t>
            </w:r>
          </w:p>
          <w:p>
            <w:pPr>
              <w:pStyle w:val="null3"/>
              <w:jc w:val="both"/>
            </w:pPr>
            <w:r>
              <w:rPr>
                <w:rFonts w:ascii="仿宋_GB2312" w:hAnsi="仿宋_GB2312" w:cs="仿宋_GB2312" w:eastAsia="仿宋_GB2312"/>
                <w:sz w:val="21"/>
              </w:rPr>
              <w:t>3.有效行程≥250mm，丝杆直径≥16mm。丝杆导程≥5mm。</w:t>
            </w:r>
          </w:p>
          <w:p>
            <w:pPr>
              <w:pStyle w:val="null3"/>
            </w:pPr>
            <w:r>
              <w:rPr>
                <w:rFonts w:ascii="仿宋_GB2312" w:hAnsi="仿宋_GB2312" w:cs="仿宋_GB2312" w:eastAsia="仿宋_GB2312"/>
                <w:sz w:val="21"/>
              </w:rPr>
              <w:t>4.要求实物对象采用虚拟平台，与实物1:1的应用场景，基于3D界面制作，可根据控制方式进行虚实结合的运行。设备上所有的传感器和执行机构都能在该系统上真实的以三维立体方式反映出来。虚拟仿真教学系统既能采用纯虚拟环境的操作面板（人机界面）、控制器、硬件设备、传感器等，所有操作都在仿真系统中通过鼠标、键盘进行操作，又能采用真实的操作面板（人机界面）、真实的控制器的操作来控制虚拟仿真的硬件设备、传感器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名称：材料分拣实物装置</w:t>
            </w:r>
          </w:p>
          <w:p>
            <w:pPr>
              <w:pStyle w:val="null3"/>
              <w:jc w:val="both"/>
            </w:pPr>
            <w:r>
              <w:rPr>
                <w:rFonts w:ascii="仿宋_GB2312" w:hAnsi="仿宋_GB2312" w:cs="仿宋_GB2312" w:eastAsia="仿宋_GB2312"/>
                <w:sz w:val="21"/>
              </w:rPr>
              <w:t>数量：</w:t>
            </w:r>
            <w:r>
              <w:rPr>
                <w:rFonts w:ascii="仿宋_GB2312" w:hAnsi="仿宋_GB2312" w:cs="仿宋_GB2312" w:eastAsia="仿宋_GB2312"/>
                <w:sz w:val="21"/>
              </w:rPr>
              <w:t>16套</w:t>
            </w:r>
          </w:p>
          <w:p>
            <w:pPr>
              <w:pStyle w:val="null3"/>
              <w:jc w:val="both"/>
            </w:pPr>
            <w:r>
              <w:rPr>
                <w:rFonts w:ascii="仿宋_GB2312" w:hAnsi="仿宋_GB2312" w:cs="仿宋_GB2312" w:eastAsia="仿宋_GB2312"/>
                <w:sz w:val="21"/>
              </w:rPr>
              <w:t>1.材料分拣装置由底板、实验桌（型材结构）、气动部分、物料传送机构、料槽及电气控制等四部分组成。气动部分由电磁阀和汽缸组成；物料传送部分由电机和同步传送带组成。</w:t>
            </w:r>
          </w:p>
          <w:p>
            <w:pPr>
              <w:pStyle w:val="null3"/>
              <w:jc w:val="both"/>
            </w:pPr>
            <w:r>
              <w:rPr>
                <w:rFonts w:ascii="仿宋_GB2312" w:hAnsi="仿宋_GB2312" w:cs="仿宋_GB2312" w:eastAsia="仿宋_GB2312"/>
                <w:sz w:val="21"/>
              </w:rPr>
              <w:t>2.电气控制单相交流电机及减速器、电磁阀、气缸、旋转编码盘、开关电源、色标传感器、光电传感器、接近开关等器件组成。</w:t>
            </w:r>
          </w:p>
          <w:p>
            <w:pPr>
              <w:pStyle w:val="null3"/>
              <w:jc w:val="both"/>
            </w:pPr>
            <w:r>
              <w:rPr>
                <w:rFonts w:ascii="仿宋_GB2312" w:hAnsi="仿宋_GB2312" w:cs="仿宋_GB2312" w:eastAsia="仿宋_GB2312"/>
                <w:sz w:val="21"/>
              </w:rPr>
              <w:t>3.通过传感器信号采集，PLC编程，对交流电机、电磁阀进行较复杂的开关量控制、位置控制、时序逻辑控制，实现对传送带上的物料进行定位，辨识、分类的功能。</w:t>
            </w:r>
          </w:p>
          <w:p>
            <w:pPr>
              <w:pStyle w:val="null3"/>
              <w:jc w:val="both"/>
            </w:pPr>
            <w:r>
              <w:rPr>
                <w:rFonts w:ascii="仿宋_GB2312" w:hAnsi="仿宋_GB2312" w:cs="仿宋_GB2312" w:eastAsia="仿宋_GB2312"/>
                <w:sz w:val="21"/>
              </w:rPr>
              <w:t>4.工业视觉相机</w:t>
            </w:r>
          </w:p>
          <w:p>
            <w:pPr>
              <w:pStyle w:val="null3"/>
              <w:jc w:val="both"/>
            </w:pPr>
            <w:r>
              <w:rPr>
                <w:rFonts w:ascii="仿宋_GB2312" w:hAnsi="仿宋_GB2312" w:cs="仿宋_GB2312" w:eastAsia="仿宋_GB2312"/>
                <w:sz w:val="21"/>
              </w:rPr>
              <w:t>要求采用国内主流品牌，分辨率：</w:t>
            </w:r>
            <w:r>
              <w:rPr>
                <w:rFonts w:ascii="仿宋_GB2312" w:hAnsi="仿宋_GB2312" w:cs="仿宋_GB2312" w:eastAsia="仿宋_GB2312"/>
                <w:sz w:val="21"/>
              </w:rPr>
              <w:t>≥2448*2048（水平*垂直像素）； 像素尺寸：≥2.4*2.4（µm）；帧速率≥24；接口：快速以太网（100Mbit/s）或千兆网（1000Mbit/s）；曝光控制：视觉软件控制。相机镜头焦距：≥16mm； 分辨率：≥500万像素。传感器类型：CMOS，卷帘快门。</w:t>
            </w:r>
          </w:p>
          <w:p>
            <w:pPr>
              <w:pStyle w:val="null3"/>
              <w:jc w:val="both"/>
            </w:pPr>
            <w:r>
              <w:rPr>
                <w:rFonts w:ascii="仿宋_GB2312" w:hAnsi="仿宋_GB2312" w:cs="仿宋_GB2312" w:eastAsia="仿宋_GB2312"/>
                <w:sz w:val="21"/>
              </w:rPr>
              <w:t>5.静音气泵采用无油空压机。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名称：系统支持终端</w:t>
            </w:r>
            <w:r>
              <w:br/>
            </w:r>
            <w:r>
              <w:rPr>
                <w:rFonts w:ascii="仿宋_GB2312" w:hAnsi="仿宋_GB2312" w:cs="仿宋_GB2312" w:eastAsia="仿宋_GB2312"/>
                <w:sz w:val="21"/>
              </w:rPr>
              <w:t>数量：</w:t>
            </w:r>
            <w:r>
              <w:rPr>
                <w:rFonts w:ascii="仿宋_GB2312" w:hAnsi="仿宋_GB2312" w:cs="仿宋_GB2312" w:eastAsia="仿宋_GB2312"/>
                <w:sz w:val="21"/>
              </w:rPr>
              <w:t>16套</w:t>
            </w:r>
            <w:r>
              <w:br/>
            </w:r>
            <w:r>
              <w:rPr>
                <w:rFonts w:ascii="仿宋_GB2312" w:hAnsi="仿宋_GB2312" w:cs="仿宋_GB2312" w:eastAsia="仿宋_GB2312"/>
                <w:sz w:val="21"/>
              </w:rPr>
              <w:t>1.处理器：</w:t>
            </w:r>
          </w:p>
          <w:p>
            <w:pPr>
              <w:pStyle w:val="null3"/>
              <w:jc w:val="both"/>
            </w:pPr>
            <w:r>
              <w:rPr>
                <w:rFonts w:ascii="仿宋_GB2312" w:hAnsi="仿宋_GB2312" w:cs="仿宋_GB2312" w:eastAsia="仿宋_GB2312"/>
                <w:sz w:val="21"/>
              </w:rPr>
              <w:t>架构：基于</w:t>
            </w:r>
            <w:r>
              <w:rPr>
                <w:rFonts w:ascii="仿宋_GB2312" w:hAnsi="仿宋_GB2312" w:cs="仿宋_GB2312" w:eastAsia="仿宋_GB2312"/>
                <w:sz w:val="21"/>
              </w:rPr>
              <w:t>C86架构的x86处理器</w:t>
            </w:r>
          </w:p>
          <w:p>
            <w:pPr>
              <w:pStyle w:val="null3"/>
              <w:jc w:val="both"/>
            </w:pPr>
            <w:r>
              <w:rPr>
                <w:rFonts w:ascii="仿宋_GB2312" w:hAnsi="仿宋_GB2312" w:cs="仿宋_GB2312" w:eastAsia="仿宋_GB2312"/>
                <w:sz w:val="21"/>
              </w:rPr>
              <w:t>核心</w:t>
            </w:r>
            <w:r>
              <w:rPr>
                <w:rFonts w:ascii="仿宋_GB2312" w:hAnsi="仿宋_GB2312" w:cs="仿宋_GB2312" w:eastAsia="仿宋_GB2312"/>
                <w:sz w:val="21"/>
              </w:rPr>
              <w:t>/线程：8核心16线程</w:t>
            </w:r>
          </w:p>
          <w:p>
            <w:pPr>
              <w:pStyle w:val="null3"/>
              <w:jc w:val="both"/>
            </w:pPr>
            <w:r>
              <w:rPr>
                <w:rFonts w:ascii="仿宋_GB2312" w:hAnsi="仿宋_GB2312" w:cs="仿宋_GB2312" w:eastAsia="仿宋_GB2312"/>
                <w:sz w:val="21"/>
              </w:rPr>
              <w:t>主频：基础频率</w:t>
            </w:r>
            <w:r>
              <w:rPr>
                <w:rFonts w:ascii="仿宋_GB2312" w:hAnsi="仿宋_GB2312" w:cs="仿宋_GB2312" w:eastAsia="仿宋_GB2312"/>
                <w:sz w:val="21"/>
              </w:rPr>
              <w:t>≥3.0GHz，最高睿频≥3.3GHz</w:t>
            </w:r>
          </w:p>
          <w:p>
            <w:pPr>
              <w:pStyle w:val="null3"/>
              <w:jc w:val="both"/>
            </w:pPr>
            <w:r>
              <w:rPr>
                <w:rFonts w:ascii="仿宋_GB2312" w:hAnsi="仿宋_GB2312" w:cs="仿宋_GB2312" w:eastAsia="仿宋_GB2312"/>
                <w:sz w:val="21"/>
              </w:rPr>
              <w:t>缓存：二级缓存</w:t>
            </w:r>
            <w:r>
              <w:rPr>
                <w:rFonts w:ascii="仿宋_GB2312" w:hAnsi="仿宋_GB2312" w:cs="仿宋_GB2312" w:eastAsia="仿宋_GB2312"/>
                <w:sz w:val="21"/>
              </w:rPr>
              <w:t>≥4MB，三级缓存≥16MB</w:t>
            </w:r>
          </w:p>
          <w:p>
            <w:pPr>
              <w:pStyle w:val="null3"/>
              <w:jc w:val="both"/>
            </w:pPr>
            <w:r>
              <w:rPr>
                <w:rFonts w:ascii="仿宋_GB2312" w:hAnsi="仿宋_GB2312" w:cs="仿宋_GB2312" w:eastAsia="仿宋_GB2312"/>
                <w:sz w:val="21"/>
              </w:rPr>
              <w:t>制程工艺：</w:t>
            </w:r>
            <w:r>
              <w:rPr>
                <w:rFonts w:ascii="仿宋_GB2312" w:hAnsi="仿宋_GB2312" w:cs="仿宋_GB2312" w:eastAsia="仿宋_GB2312"/>
                <w:sz w:val="21"/>
              </w:rPr>
              <w:t>14nm</w:t>
            </w:r>
          </w:p>
          <w:p>
            <w:pPr>
              <w:pStyle w:val="null3"/>
              <w:jc w:val="both"/>
            </w:pPr>
            <w:r>
              <w:rPr>
                <w:rFonts w:ascii="仿宋_GB2312" w:hAnsi="仿宋_GB2312" w:cs="仿宋_GB2312" w:eastAsia="仿宋_GB2312"/>
                <w:sz w:val="21"/>
              </w:rPr>
              <w:t>典型功耗：</w:t>
            </w:r>
            <w:r>
              <w:rPr>
                <w:rFonts w:ascii="仿宋_GB2312" w:hAnsi="仿宋_GB2312" w:cs="仿宋_GB2312" w:eastAsia="仿宋_GB2312"/>
                <w:sz w:val="21"/>
              </w:rPr>
              <w:t>≤65W</w:t>
            </w:r>
          </w:p>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≥16GB DDR4，硬盘≥512GB SSD，显存≥8G，显示器≥23.8英寸展示终端</w:t>
            </w:r>
          </w:p>
          <w:p>
            <w:pPr>
              <w:pStyle w:val="null3"/>
            </w:pPr>
            <w:r>
              <w:rPr>
                <w:rFonts w:ascii="仿宋_GB2312" w:hAnsi="仿宋_GB2312" w:cs="仿宋_GB2312" w:eastAsia="仿宋_GB2312"/>
                <w:sz w:val="21"/>
              </w:rPr>
              <w:t>预装国产正版操作系统。</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名称：自动化生产线实训装置</w:t>
            </w:r>
            <w:r>
              <w:br/>
            </w:r>
            <w:r>
              <w:rPr>
                <w:rFonts w:ascii="仿宋_GB2312" w:hAnsi="仿宋_GB2312" w:cs="仿宋_GB2312" w:eastAsia="仿宋_GB2312"/>
                <w:sz w:val="21"/>
              </w:rPr>
              <w:t>数量：</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1.实训桌</w:t>
            </w:r>
          </w:p>
          <w:p>
            <w:pPr>
              <w:pStyle w:val="null3"/>
              <w:jc w:val="both"/>
            </w:pPr>
            <w:r>
              <w:rPr>
                <w:rFonts w:ascii="仿宋_GB2312" w:hAnsi="仿宋_GB2312" w:cs="仿宋_GB2312" w:eastAsia="仿宋_GB2312"/>
                <w:sz w:val="21"/>
              </w:rPr>
              <w:t>外形尺寸不小于</w:t>
            </w:r>
            <w:r>
              <w:rPr>
                <w:rFonts w:ascii="仿宋_GB2312" w:hAnsi="仿宋_GB2312" w:cs="仿宋_GB2312" w:eastAsia="仿宋_GB2312"/>
                <w:sz w:val="21"/>
              </w:rPr>
              <w:t>1980mm×1120mm×780mm 铝钢结构,带滚轮（滚轮带有刹车）,双面四抽屉,抽屉采用网孔板,设备安装灵活。桌面：由14条（20*80*1980）mm 铝型材组搭而成；桌面上开有7个圆形过线空（Ф50）mm。桌脚：由四条（60*60）mm的铝型材加工而成，能保证桌子的稳定性。 网孔板抽屉：有 A、B 两种四个网孔板抽屉，用于灵活的布置、安装控制设备。</w:t>
            </w:r>
          </w:p>
          <w:p>
            <w:pPr>
              <w:pStyle w:val="null3"/>
              <w:jc w:val="both"/>
            </w:pPr>
            <w:r>
              <w:rPr>
                <w:rFonts w:ascii="仿宋_GB2312" w:hAnsi="仿宋_GB2312" w:cs="仿宋_GB2312" w:eastAsia="仿宋_GB2312"/>
                <w:sz w:val="21"/>
              </w:rPr>
              <w:t>2.供料单元</w:t>
            </w:r>
          </w:p>
          <w:p>
            <w:pPr>
              <w:pStyle w:val="null3"/>
              <w:jc w:val="both"/>
            </w:pPr>
            <w:r>
              <w:rPr>
                <w:rFonts w:ascii="仿宋_GB2312" w:hAnsi="仿宋_GB2312" w:cs="仿宋_GB2312" w:eastAsia="仿宋_GB2312"/>
                <w:sz w:val="21"/>
              </w:rPr>
              <w:t>底板：采用不小于（</w:t>
            </w:r>
            <w:r>
              <w:rPr>
                <w:rFonts w:ascii="仿宋_GB2312" w:hAnsi="仿宋_GB2312" w:cs="仿宋_GB2312" w:eastAsia="仿宋_GB2312"/>
                <w:sz w:val="21"/>
              </w:rPr>
              <w:t>370*300*15）mm的铝板，可单站独立动作或多站联机动作。包含电磁阀≥1个、双作用气缸≥1个、气源开关≥1个、磁性开关传感器≥2个、1200PLC模块≥2个等。</w:t>
            </w:r>
          </w:p>
          <w:p>
            <w:pPr>
              <w:pStyle w:val="null3"/>
              <w:jc w:val="both"/>
            </w:pPr>
            <w:r>
              <w:rPr>
                <w:rFonts w:ascii="仿宋_GB2312" w:hAnsi="仿宋_GB2312" w:cs="仿宋_GB2312" w:eastAsia="仿宋_GB2312"/>
                <w:sz w:val="21"/>
              </w:rPr>
              <w:t>3.输送单元</w:t>
            </w:r>
          </w:p>
          <w:p>
            <w:pPr>
              <w:pStyle w:val="null3"/>
              <w:jc w:val="both"/>
            </w:pPr>
            <w:r>
              <w:rPr>
                <w:rFonts w:ascii="仿宋_GB2312" w:hAnsi="仿宋_GB2312" w:cs="仿宋_GB2312" w:eastAsia="仿宋_GB2312"/>
                <w:sz w:val="21"/>
              </w:rPr>
              <w:t>底板：采用不小于（</w:t>
            </w:r>
            <w:r>
              <w:rPr>
                <w:rFonts w:ascii="仿宋_GB2312" w:hAnsi="仿宋_GB2312" w:cs="仿宋_GB2312" w:eastAsia="仿宋_GB2312"/>
                <w:sz w:val="21"/>
              </w:rPr>
              <w:t>1400*200*15）mm的铝板，可单站独立动作或多站联机动作。包含电磁阀≥1个、双作用气缸≥1个、气源开关≥1个、磁性开关传感器≥2个、1200PLC模块≥2个等。</w:t>
            </w:r>
          </w:p>
          <w:p>
            <w:pPr>
              <w:pStyle w:val="null3"/>
              <w:jc w:val="both"/>
            </w:pPr>
            <w:r>
              <w:rPr>
                <w:rFonts w:ascii="仿宋_GB2312" w:hAnsi="仿宋_GB2312" w:cs="仿宋_GB2312" w:eastAsia="仿宋_GB2312"/>
                <w:sz w:val="21"/>
              </w:rPr>
              <w:t>4.加工单元</w:t>
            </w:r>
          </w:p>
          <w:p>
            <w:pPr>
              <w:pStyle w:val="null3"/>
              <w:jc w:val="both"/>
            </w:pPr>
            <w:r>
              <w:rPr>
                <w:rFonts w:ascii="仿宋_GB2312" w:hAnsi="仿宋_GB2312" w:cs="仿宋_GB2312" w:eastAsia="仿宋_GB2312"/>
                <w:sz w:val="21"/>
              </w:rPr>
              <w:t>底板：采用不小于（</w:t>
            </w:r>
            <w:r>
              <w:rPr>
                <w:rFonts w:ascii="仿宋_GB2312" w:hAnsi="仿宋_GB2312" w:cs="仿宋_GB2312" w:eastAsia="仿宋_GB2312"/>
                <w:sz w:val="21"/>
              </w:rPr>
              <w:t>370*300*15）mm的钢板，单站独立动作或多站联机动作。包含电磁阀≥1个、双作用气缸≥1个、气源开关≥1个、磁性开关传感器≥2个、1200PLC模块≥2个等。</w:t>
            </w:r>
          </w:p>
          <w:p>
            <w:pPr>
              <w:pStyle w:val="null3"/>
              <w:jc w:val="both"/>
            </w:pPr>
            <w:r>
              <w:rPr>
                <w:rFonts w:ascii="仿宋_GB2312" w:hAnsi="仿宋_GB2312" w:cs="仿宋_GB2312" w:eastAsia="仿宋_GB2312"/>
                <w:sz w:val="21"/>
              </w:rPr>
              <w:t>5.装配单元</w:t>
            </w:r>
          </w:p>
          <w:p>
            <w:pPr>
              <w:pStyle w:val="null3"/>
              <w:jc w:val="both"/>
            </w:pPr>
            <w:r>
              <w:rPr>
                <w:rFonts w:ascii="仿宋_GB2312" w:hAnsi="仿宋_GB2312" w:cs="仿宋_GB2312" w:eastAsia="仿宋_GB2312"/>
                <w:sz w:val="21"/>
              </w:rPr>
              <w:t>底板：采用不小于（</w:t>
            </w:r>
            <w:r>
              <w:rPr>
                <w:rFonts w:ascii="仿宋_GB2312" w:hAnsi="仿宋_GB2312" w:cs="仿宋_GB2312" w:eastAsia="仿宋_GB2312"/>
                <w:sz w:val="21"/>
              </w:rPr>
              <w:t>370*300*15）mm的钢板，可单站独立动作或多站联机动作。包含电磁阀≥1个、双作用气缸≥1个、气源开关≥1个、磁性开关传感器≥2个、1200PLC模≥2个块等。</w:t>
            </w:r>
          </w:p>
          <w:p>
            <w:pPr>
              <w:pStyle w:val="null3"/>
              <w:jc w:val="both"/>
            </w:pPr>
            <w:r>
              <w:rPr>
                <w:rFonts w:ascii="仿宋_GB2312" w:hAnsi="仿宋_GB2312" w:cs="仿宋_GB2312" w:eastAsia="仿宋_GB2312"/>
                <w:sz w:val="21"/>
              </w:rPr>
              <w:t>6.分料单元</w:t>
            </w:r>
          </w:p>
          <w:p>
            <w:pPr>
              <w:pStyle w:val="null3"/>
              <w:jc w:val="both"/>
            </w:pPr>
            <w:r>
              <w:rPr>
                <w:rFonts w:ascii="仿宋_GB2312" w:hAnsi="仿宋_GB2312" w:cs="仿宋_GB2312" w:eastAsia="仿宋_GB2312"/>
                <w:sz w:val="21"/>
              </w:rPr>
              <w:t>底板：采用（</w:t>
            </w:r>
            <w:r>
              <w:rPr>
                <w:rFonts w:ascii="仿宋_GB2312" w:hAnsi="仿宋_GB2312" w:cs="仿宋_GB2312" w:eastAsia="仿宋_GB2312"/>
                <w:sz w:val="21"/>
              </w:rPr>
              <w:t>740*300*15）mm的铝板，可单站独立动作或多站联机动作。包含减速电机≥1个、输送线≥1条、挡料电磁≥1个、气缸≥3个、料仓≥3个、光电传感器≥3个、磁性开关传感器≥6个、1200PLC模块≥2个等。</w:t>
            </w:r>
          </w:p>
          <w:p>
            <w:pPr>
              <w:pStyle w:val="null3"/>
              <w:jc w:val="both"/>
            </w:pPr>
            <w:r>
              <w:rPr>
                <w:rFonts w:ascii="仿宋_GB2312" w:hAnsi="仿宋_GB2312" w:cs="仿宋_GB2312" w:eastAsia="仿宋_GB2312"/>
                <w:sz w:val="21"/>
              </w:rPr>
              <w:t>7.变频器实训模块：功率0.37KW,输入频率：50-60HZ,输出频率 0-650HZ。设定值分辨率 0.01HZ，含BOP面板。</w:t>
            </w:r>
          </w:p>
          <w:p>
            <w:pPr>
              <w:pStyle w:val="null3"/>
              <w:jc w:val="both"/>
            </w:pPr>
            <w:r>
              <w:rPr>
                <w:rFonts w:ascii="仿宋_GB2312" w:hAnsi="仿宋_GB2312" w:cs="仿宋_GB2312" w:eastAsia="仿宋_GB2312"/>
                <w:sz w:val="21"/>
              </w:rPr>
              <w:t>8.触摸屏模块：配有7寸彩色触摸屏； DC24V供电，配有通信下载编程电缆，支持以太网通信。</w:t>
            </w:r>
          </w:p>
          <w:p>
            <w:pPr>
              <w:pStyle w:val="null3"/>
              <w:jc w:val="both"/>
            </w:pPr>
            <w:r>
              <w:rPr>
                <w:rFonts w:ascii="仿宋_GB2312" w:hAnsi="仿宋_GB2312" w:cs="仿宋_GB2312" w:eastAsia="仿宋_GB2312"/>
                <w:sz w:val="21"/>
              </w:rPr>
              <w:t>9.伺服驱动器：输入电压：200-240V；功率：200W；防护等级:IP20；常规通用接口，低惯性,200W,3000转,0.32N*m。</w:t>
            </w:r>
          </w:p>
          <w:p>
            <w:pPr>
              <w:pStyle w:val="null3"/>
              <w:jc w:val="both"/>
            </w:pPr>
            <w:r>
              <w:rPr>
                <w:rFonts w:ascii="仿宋_GB2312" w:hAnsi="仿宋_GB2312" w:cs="仿宋_GB2312" w:eastAsia="仿宋_GB2312"/>
                <w:sz w:val="21"/>
              </w:rPr>
              <w:t>10.传感器</w:t>
            </w:r>
          </w:p>
          <w:p>
            <w:pPr>
              <w:pStyle w:val="null3"/>
              <w:jc w:val="both"/>
            </w:pPr>
            <w:r>
              <w:rPr>
                <w:rFonts w:ascii="仿宋_GB2312" w:hAnsi="仿宋_GB2312" w:cs="仿宋_GB2312" w:eastAsia="仿宋_GB2312"/>
                <w:sz w:val="21"/>
              </w:rPr>
              <w:t>要求提供光电传感器</w:t>
            </w:r>
            <w:r>
              <w:rPr>
                <w:rFonts w:ascii="仿宋_GB2312" w:hAnsi="仿宋_GB2312" w:cs="仿宋_GB2312" w:eastAsia="仿宋_GB2312"/>
                <w:sz w:val="21"/>
              </w:rPr>
              <w:t>≥7只；光电传感器≥2只；接近传感器≥1只；金属传感器≥2只；光纤传感器≥3只。</w:t>
            </w:r>
          </w:p>
          <w:p>
            <w:pPr>
              <w:pStyle w:val="null3"/>
              <w:jc w:val="both"/>
            </w:pPr>
            <w:r>
              <w:rPr>
                <w:rFonts w:ascii="仿宋_GB2312" w:hAnsi="仿宋_GB2312" w:cs="仿宋_GB2312" w:eastAsia="仿宋_GB2312"/>
                <w:sz w:val="21"/>
              </w:rPr>
              <w:t>11.其他器件模块</w:t>
            </w:r>
          </w:p>
          <w:p>
            <w:pPr>
              <w:pStyle w:val="null3"/>
              <w:jc w:val="both"/>
            </w:pPr>
            <w:r>
              <w:rPr>
                <w:rFonts w:ascii="仿宋_GB2312" w:hAnsi="仿宋_GB2312" w:cs="仿宋_GB2312" w:eastAsia="仿宋_GB2312"/>
                <w:sz w:val="21"/>
              </w:rPr>
              <w:t>要求提供警示灯</w:t>
            </w:r>
            <w:r>
              <w:rPr>
                <w:rFonts w:ascii="仿宋_GB2312" w:hAnsi="仿宋_GB2312" w:cs="仿宋_GB2312" w:eastAsia="仿宋_GB2312"/>
                <w:sz w:val="21"/>
              </w:rPr>
              <w:t>≥1只；汇流板≥5只；双向电控气阀4V120-J6≥2只；单向电控气阀4V110-06≥16只；气缸≥18个；过滤减压阀≥5套；电磁阀组件≥5套；电源配电系统≥1套；气泵≥1台。</w:t>
            </w:r>
          </w:p>
          <w:p>
            <w:pPr>
              <w:pStyle w:val="null3"/>
              <w:jc w:val="both"/>
            </w:pPr>
            <w:r>
              <w:rPr>
                <w:rFonts w:ascii="仿宋_GB2312" w:hAnsi="仿宋_GB2312" w:cs="仿宋_GB2312" w:eastAsia="仿宋_GB2312"/>
                <w:sz w:val="21"/>
              </w:rPr>
              <w:t>12.工业交换机（2套）：端口形态：≥8个10/100/1000M RJ45口；</w:t>
            </w:r>
          </w:p>
          <w:p>
            <w:pPr>
              <w:pStyle w:val="null3"/>
              <w:jc w:val="both"/>
            </w:pPr>
            <w:r>
              <w:rPr>
                <w:rFonts w:ascii="仿宋_GB2312" w:hAnsi="仿宋_GB2312" w:cs="仿宋_GB2312" w:eastAsia="仿宋_GB2312"/>
                <w:sz w:val="21"/>
              </w:rPr>
              <w:t>13.虚拟机电一体化技术专业仿真实训系统</w:t>
            </w:r>
          </w:p>
          <w:p>
            <w:pPr>
              <w:pStyle w:val="null3"/>
              <w:jc w:val="both"/>
            </w:pPr>
            <w:r>
              <w:rPr>
                <w:rFonts w:ascii="仿宋_GB2312" w:hAnsi="仿宋_GB2312" w:cs="仿宋_GB2312" w:eastAsia="仿宋_GB2312"/>
                <w:sz w:val="21"/>
              </w:rPr>
              <w:t>要求仿真实训系统包含电工仪表、电工基础、气动技术基础、液压技术基础、</w:t>
            </w:r>
            <w:r>
              <w:rPr>
                <w:rFonts w:ascii="仿宋_GB2312" w:hAnsi="仿宋_GB2312" w:cs="仿宋_GB2312" w:eastAsia="仿宋_GB2312"/>
                <w:sz w:val="21"/>
              </w:rPr>
              <w:t>PLC技术基础、机床电气等实训模块，内容不少于200个实训项目，基本覆盖维修电工鉴定考核的全部模块。至少具有以下实训项目：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1）电工仪表：直流电流表、直流电压表、直流单臂电桥、指针式万用表、数字万用表、兆欧表、钳形电流表等7项仿真训练；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2）电工基础：欧姆定律、电磁感应、基尔霍夫定律、负载Y/△接法等6项仿真训练。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3）电工元件:接触器、热继电器、时间继电器、断路器、主令电器、熔断器、三相异步电机、直流电动机等8项仿真训练。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4）气动技术基础：流量阀和速度控制回路、压力阀和压力控制回路、气动元件、气动系统、方向控制阀等7项仿真训练。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5）液压技术基础：动力元件、执行元件、方向阀和方向控制回路、流量阀和速度控制回路压力控制阀、方向控制回路等10项仿真训练。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6）PLC技术基础：四节传送带模拟、自动配料系统模拟、交通模拟控制、四层电梯实物模型、立体车库实物模型、材料分解实物模型、变频器闭环控制等25项仿真训练。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7）机电控制仿真：Y/△启动自动控制、双重联锁正反转控制、双速异步电动机的控制、普通车床、X62铣床等15项仿真训练。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8）触电急救:触电的方式、安全防护措施、接地与接零保护、心肺复苏等急救方法等4项仿真训练。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9）风险排除:5种灭火器类型、5种灭火器的使用等仿真训练。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10）投标文件须提供上述软件功能截图和实物图片不低于10张进行佐证。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11）气动系统的安装与调试实训项目不少于7个。</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12）电气控制电路的安装和PLC程序编写实训项目不少于10个。</w:t>
            </w:r>
          </w:p>
          <w:p>
            <w:pPr>
              <w:pStyle w:val="null3"/>
            </w:pPr>
            <w:r>
              <w:rPr>
                <w:rFonts w:ascii="仿宋_GB2312" w:hAnsi="仿宋_GB2312" w:cs="仿宋_GB2312" w:eastAsia="仿宋_GB2312"/>
                <w:sz w:val="21"/>
              </w:rPr>
              <w:t>（</w:t>
            </w:r>
            <w:r>
              <w:rPr>
                <w:rFonts w:ascii="仿宋_GB2312" w:hAnsi="仿宋_GB2312" w:cs="仿宋_GB2312" w:eastAsia="仿宋_GB2312"/>
                <w:sz w:val="21"/>
              </w:rPr>
              <w:t>13）机电设备安装与调试实训项目不少于6个。</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名称：自动化生产线升级改造</w:t>
            </w:r>
            <w:r>
              <w:br/>
            </w:r>
            <w:r>
              <w:rPr>
                <w:rFonts w:ascii="仿宋_GB2312" w:hAnsi="仿宋_GB2312" w:cs="仿宋_GB2312" w:eastAsia="仿宋_GB2312"/>
                <w:sz w:val="21"/>
              </w:rPr>
              <w:t>数量：</w:t>
            </w:r>
            <w:r>
              <w:rPr>
                <w:rFonts w:ascii="仿宋_GB2312" w:hAnsi="仿宋_GB2312" w:cs="仿宋_GB2312" w:eastAsia="仿宋_GB2312"/>
                <w:sz w:val="21"/>
              </w:rPr>
              <w:t>1套</w:t>
            </w:r>
          </w:p>
          <w:p>
            <w:pPr>
              <w:pStyle w:val="null3"/>
              <w:jc w:val="both"/>
            </w:pPr>
            <w:r>
              <w:rPr>
                <w:rFonts w:ascii="仿宋_GB2312" w:hAnsi="仿宋_GB2312" w:cs="仿宋_GB2312" w:eastAsia="仿宋_GB2312"/>
                <w:sz w:val="21"/>
              </w:rPr>
              <w:t>须对原有设备进行升级改造为西门子1200系统。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进度款，验收合格后，达到付款条件起25个工作日内，支付合同总金额的100.0%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（1）交付标准：试运行1周后组织验收，按照招标文件、投标文件和合同约定进行验收。 （2）验收方法：履约验收方案应当在合同中约定。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在承诺的质保期内对所有产品及时进行免费的售后服务；保修期为3年。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本项目为不见面开标，投标人无需在开标现场提交纸质投标文件，待采购结果发布后3个工作日内成交投标人向代理机构提交纸质版投标文件以便于存档，投标文件包括:正本壹份、副本贰份，电子版U盘壹份(含投标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投标人身份证明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投标人应按照汉中市财政局《关于全面推行政府采购投标人基本资格条件承诺制的通知》（汉采办采管〔2024〕20号）文件要求，须提供《汉中市政府采购投标人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非联合体磋商声明函</w:t>
            </w:r>
          </w:p>
        </w:tc>
        <w:tc>
          <w:tcPr>
            <w:tcW w:type="dxa" w:w="3322"/>
          </w:tcPr>
          <w:p>
            <w:pPr>
              <w:pStyle w:val="null3"/>
            </w:pPr>
            <w:r>
              <w:rPr>
                <w:rFonts w:ascii="仿宋_GB2312" w:hAnsi="仿宋_GB2312" w:cs="仿宋_GB2312" w:eastAsia="仿宋_GB2312"/>
              </w:rPr>
              <w:t>本项目不接受联合体磋商（提供非联合体声明）。（材料应清晰可辨并进行电子签章）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开标一览表 投标方案.docx 中小企业声明函 商务应答表 功能演示说明.pdf 类似项目业绩表.docx 投标分项报价表.docx 产品技术参数表 投标人应提交的相关资格证明材料.docx 技术偏离表.docx 投标函 残疾人福利性单位声明函 标的清单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投标方案.docx 中小企业声明函 商务应答表 功能演示说明.pdf 类似项目业绩表.docx 投标分项报价表.docx 产品技术参数表 投标人应提交的相关资格证明材料.docx 技术偏离表.docx 投标函 残疾人福利性单位声明函 标的清单 投标文件封面 商务条款偏离表.docx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投标方案.docx 产品技术参数表 技术偏离表.docx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依据投标人技术参数逐项评审：带★条款为实质性要求，不满足作无效投标处理；本分项满分40分，▲重要条款、普通无标识条款存在未响应、不满足、负偏离均予以扣分，技术正偏离不加分。 （1）实质性条款（★）：本项目设置1项★实质性条款，未完全响应要求的，响应文件按无效处理； （2）标注（▲）重要技术条款共12项，分值24分，每有1项未响应、不满足或负偏离扣2分，扣至0分为止； （3）无标识普通技术条款，分值16分，每有1项未响应、不满足或负偏离扣 0.2分，扣至0分为止； 注：按照技术参数要求提供相应的证明文件（包括不限于提供生产厂家的印刷资料或生产厂家的说明书或国家认可的第三方检测机构出具的检测报告等），应按要求提供，否则对应技术参数条款将视为不满足。</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本项目实施方案需满足专业教学实训开展、虚实结合实训教学体系建设及成套设备安全交付、按期投用、验收落地的双重需求。根据投标人提供的项目实施方案进行评审，内容包含但不限于：① 项目的重点和难点分析；② 项目进度计划及保障措施；③ 质量保证措施；④ 安全保障措施；⑤ 安装调试方案；⑥ 保密方案；⑦ 培训方案；⑧ 应急预案。 二、评审标准 完整性：涵盖全部实施模块，内容完整详实； 可操作性：实施流程清晰，措施切实可行； 针对性：适配本项目智能制造通识教育实训平台供货、实训室软硬件集成及虚实结合教学建设需求。 三、赋分标准（满分8分） 评审内容共计八项，方案内容详实完整、逻辑清晰、贴合项目实际、全面满足采购要求的，得8分。每缺失一项内容扣1分，每项内容存在1处缺陷扣0.2分，扣完即止。 四、未提供本项目实施方案不得分。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本项目需配套智能制造通识教育实训软硬件设备，质量保证方案需满足教学实训设备长期稳定运行的特殊要求。根据投标人提供的质量保障方案进行评审，内容包含但不限于：① 质保期内实训平台质量保障；② 生产过程质量控制；③ 不合格品控制；④ 成品检验与测试。 二、评审标准 完整性：生产过程管控、成品检验测试、质保期内实训平台保障等全部质量相关内容； 可操作性：质量管控流程清晰，管控措施落地可行； 针对性：针对本项目智能制造通识教育实训软硬件设备全生命周期质量管控制定。 三、赋分标准（满分2分） 评审内容共计四项，方案内容详实完整、逻辑清晰、贴合项目实际、全面满足采购要求的，得2分，每缺失一项内容扣0.5分，每项内容存在1处缺陷扣0.1分，扣完即止。 四、未提供本质量保障方案不得分。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一、评审内容 本项目技术培训方案结合智能制造通识教育实训平台软硬件特点，搭建教学培训体系，确保教师熟练掌握设备操作与软件使用，满足实训教学需求。根据投标人提供的技术培训方案进行评审，内容包含但不限于：① 培训组织与师资配置；② 分层培训内容与课程体系制；③ 培训实施计划与教学形式；④ 培训考核、课后长效技术保障。 二、评审标准 完整性：培训组织与师资配置、分层课程体系、实施计划及考核保障等全部培训相关内容； 可操作性：培训方式、实施安排清晰合理； 针对性：面向本项目智能制造通识教育实训平台师生设备操作、虚实结合实训教学需求定制设计。 三、赋分标准（满分2分） 评审内容共计四项，方案内容详实完整、逻辑清晰、贴合项目实际、全面满足采购要求的，得2分，每缺失一项内容扣0.5分，每项内容存在1处缺陷扣0.1分，扣完即止。 四、未提供本技术培训方案不得分。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交货方案</w:t>
            </w:r>
          </w:p>
        </w:tc>
        <w:tc>
          <w:tcPr>
            <w:tcW w:type="dxa" w:w="2492"/>
          </w:tcPr>
          <w:p>
            <w:pPr>
              <w:pStyle w:val="null3"/>
            </w:pPr>
            <w:r>
              <w:rPr>
                <w:rFonts w:ascii="仿宋_GB2312" w:hAnsi="仿宋_GB2312" w:cs="仿宋_GB2312" w:eastAsia="仿宋_GB2312"/>
              </w:rPr>
              <w:t>一、评审内容 本项目交货方案需满足教学实训平台硬件台体、配套仿真软件及附属组件安全交付、按期投用并完成现场安装调试的特殊要求。根据投标人提交的交货方案进行评审，内容包含但不限于：①供货排产与交付进度计划；②设备包装、运输及现场装卸就位方案；③设备安装、布线、系统调试规范；④分阶段开箱、试运行与整体验收流程。 二、评审标准 完整性：供货排产、包装运输、安装调试及验收流程等全部交付相关内容； 可操作性：交付时序安排清晰，保障措施可行； 针对性：适配本项目智能制造通识教育实训平台硬件台体、配套仿真软件及附属组件到货、现场集成调试场景。 三、赋分标准（满分 4 分） 评审内容共计四项，方案内容详实完整、逻辑清晰、贴合项目实际、全面满足采购要求的，得4分，每缺失一项内容扣1分，每项内容存在1处缺陷扣0.2分，扣完即止。 四、未提供本交货方案不得分。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本项目售后服务方案需满足教学实训设备高频教学使用、长期稳定运行、快速故障排查及持续技术支撑的特殊要求。根据投标人提供的售后服务方案进行评审，内容包含但不限于：①售后服务人员的配置（售后服务人员需具备现场解决问题的能力，同时提供售后服务人员清单）；②售后服务处理流程；③质保期内的客户回访及针对产品的巡检方案；④应急保障措施及应急处理方式、现场服务支持能力。 二、评审标准 完整性：售后人员配置、故障处理流程、质保巡检及应急保障等全部售后相关内容； 可操作性：售后响应流程清晰，保障机制完善； 针对性：满足本项目智能制造通识教育实训平台长期高频教学使用、稳定运维及快速技术支撑需求。 三、赋分标准（满分4分） 评审内容共计四项，方案内容详实完整、逻辑清晰、贴合项目实际、全面满足采购要求的，得4分，每缺失一项内容扣1分，每项内容存在1处缺陷扣0.2分，扣完即止。 四、未提供本售后服务方案不得分。 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实训设备演示</w:t>
            </w:r>
          </w:p>
        </w:tc>
        <w:tc>
          <w:tcPr>
            <w:tcW w:type="dxa" w:w="2492"/>
          </w:tcPr>
          <w:p>
            <w:pPr>
              <w:pStyle w:val="null3"/>
            </w:pPr>
            <w:r>
              <w:rPr>
                <w:rFonts w:ascii="仿宋_GB2312" w:hAnsi="仿宋_GB2312" w:cs="仿宋_GB2312" w:eastAsia="仿宋_GB2312"/>
              </w:rPr>
              <w:t>投标人对招标文件第三章3.3“技术要求”中标注“●”的技术参数（共 3 项）进行视频演示，每成功演示一项得2分，最多得6分；未演示成功的该项不得分。 说明：投标人自备播放设备，通过腾讯会议线上演示；演示功能不全、功能不符合招标要求或未提供演示的，该项不得分。 注：①演示内容须为基于真实软件系统的视频录制演示，对视频格式、编码方式、分辨率、帧率、音频等方面不作要求；②演示总时长不超过15分钟；③演示形式：开标现场依托腾讯会议线上视频演示，腾讯会议入会信息由采购代理机构在演示开始前统一通知各投标人；④演示时间：开标当天符合性审查结束后；⑤投标人须按时接入会议，因自身网络、设备故障、逾期未参会造成无法演示的，后果自行承担。</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功能演示说明.pdf</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提供2023年7月1日（含）至今、以合同签订时间为准的同类项目有效业绩合同，每提供1份得1.5分，本项累计最高3分；未提供有效业绩不得分。 注：提供合同或中标（成交）通知书复印件，以合同签订时间或中标（成交）通知书发出之日为准。同时提供合同和中标（成交）通知书的，以合同签订时间为准。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投标人在完全满足招标文件售后服务期的基础上，每增加1年的得0.5分，最多得1分。 注：提供承诺函原件，格式自拟，加盖投标人公章。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满足招标文件要求且价格最低的价格为评标基准价，其价格分为满分。其他投标人的价格分统 一按照下列公式计算：投标报价得分=（评标基准价/投标报价） ×分值； 注：1、享受价格扣除的：投标人参评价格=投标报价*（1-价格扣除） 2、不享受价格扣除的：投标人参评价格=投标报价。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详见附件：功能演示说明.pdf</w:t>
      </w:r>
    </w:p>
    <w:p>
      <w:pPr>
        <w:pStyle w:val="null3"/>
        <w:ind w:firstLine="960"/>
      </w:pPr>
      <w:r>
        <w:rPr>
          <w:rFonts w:ascii="仿宋_GB2312" w:hAnsi="仿宋_GB2312" w:cs="仿宋_GB2312" w:eastAsia="仿宋_GB2312"/>
        </w:rPr>
        <w:t>详见附件：类似项目业绩表.docx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详见附件：技术偏离表.docx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详见附件：工业自动化控制实训室设备采购项目-拟签订采购合同文本.docx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