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B5638">
      <w:pPr>
        <w:keepNext w:val="0"/>
        <w:keepLines w:val="0"/>
        <w:pageBreakBefore w:val="0"/>
        <w:widowControl w:val="0"/>
        <w:kinsoku/>
        <w:wordWrap/>
        <w:overflowPunct/>
        <w:topLinePunct w:val="0"/>
        <w:autoSpaceDE w:val="0"/>
        <w:autoSpaceDN w:val="0"/>
        <w:bidi w:val="0"/>
        <w:adjustRightInd w:val="0"/>
        <w:snapToGrid/>
        <w:spacing w:line="360" w:lineRule="auto"/>
        <w:ind w:firstLine="723" w:firstLineChars="200"/>
        <w:jc w:val="center"/>
        <w:textAlignment w:val="auto"/>
        <w:outlineLvl w:val="9"/>
        <w:rPr>
          <w:rFonts w:hint="default" w:ascii="仿宋_GB2312" w:hAnsi="仿宋_GB2312" w:eastAsia="仿宋_GB2312" w:cs="仿宋_GB2312"/>
          <w:b/>
          <w:bCs/>
          <w:color w:val="auto"/>
          <w:sz w:val="36"/>
          <w:szCs w:val="36"/>
          <w:highlight w:val="none"/>
          <w:lang w:val="en-US" w:eastAsia="zh-CN"/>
        </w:rPr>
      </w:pPr>
      <w:r>
        <w:rPr>
          <w:rFonts w:hint="eastAsia" w:ascii="仿宋_GB2312" w:hAnsi="仿宋_GB2312" w:eastAsia="仿宋_GB2312" w:cs="仿宋_GB2312"/>
          <w:b/>
          <w:bCs/>
          <w:color w:val="auto"/>
          <w:sz w:val="36"/>
          <w:szCs w:val="36"/>
          <w:highlight w:val="none"/>
          <w:lang w:val="en-US" w:eastAsia="zh-CN"/>
        </w:rPr>
        <w:t>保险合同（参考）</w:t>
      </w:r>
    </w:p>
    <w:p w14:paraId="2E00821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采购人（甲方）：</w:t>
      </w:r>
    </w:p>
    <w:p w14:paraId="57A872F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供应商（乙方）：</w:t>
      </w:r>
    </w:p>
    <w:p w14:paraId="380340A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根据《中华人民共和国政府采购法》及实施条例、《中华人民共和国</w:t>
      </w:r>
      <w:r>
        <w:rPr>
          <w:rFonts w:hint="eastAsia" w:ascii="仿宋_GB2312" w:hAnsi="仿宋_GB2312" w:eastAsia="仿宋_GB2312" w:cs="仿宋_GB2312"/>
          <w:color w:val="auto"/>
          <w:sz w:val="24"/>
          <w:szCs w:val="24"/>
          <w:highlight w:val="none"/>
          <w:lang w:val="en-US" w:eastAsia="zh-CN"/>
        </w:rPr>
        <w:t>民法典</w:t>
      </w:r>
      <w:r>
        <w:rPr>
          <w:rFonts w:hint="eastAsia" w:ascii="仿宋_GB2312" w:hAnsi="仿宋_GB2312" w:eastAsia="仿宋_GB2312" w:cs="仿宋_GB2312"/>
          <w:color w:val="auto"/>
          <w:sz w:val="24"/>
          <w:szCs w:val="24"/>
          <w:highlight w:val="none"/>
        </w:rPr>
        <w:t>》和甲方采购项目（</w:t>
      </w:r>
      <w:r>
        <w:rPr>
          <w:rFonts w:hint="eastAsia" w:ascii="仿宋_GB2312" w:hAnsi="仿宋_GB2312" w:eastAsia="仿宋_GB2312" w:cs="仿宋_GB2312"/>
          <w:color w:val="auto"/>
          <w:sz w:val="24"/>
          <w:szCs w:val="24"/>
          <w:highlight w:val="none"/>
          <w:u w:val="single"/>
          <w:lang w:val="en-US" w:eastAsia="zh-CN"/>
        </w:rPr>
        <w:t xml:space="preserve">项目名称           </w:t>
      </w:r>
      <w:r>
        <w:rPr>
          <w:rFonts w:hint="eastAsia" w:ascii="仿宋_GB2312" w:hAnsi="仿宋_GB2312" w:eastAsia="仿宋_GB2312" w:cs="仿宋_GB2312"/>
          <w:color w:val="auto"/>
          <w:sz w:val="24"/>
          <w:szCs w:val="24"/>
          <w:highlight w:val="none"/>
        </w:rPr>
        <w:t>）的</w:t>
      </w:r>
      <w:r>
        <w:rPr>
          <w:rFonts w:hint="eastAsia" w:ascii="仿宋_GB2312" w:hAnsi="仿宋_GB2312" w:eastAsia="仿宋_GB2312" w:cs="仿宋_GB2312"/>
          <w:sz w:val="24"/>
          <w:szCs w:val="24"/>
        </w:rPr>
        <w:t>竞争性磋商</w:t>
      </w:r>
      <w:r>
        <w:rPr>
          <w:rFonts w:hint="eastAsia" w:ascii="仿宋_GB2312" w:hAnsi="仿宋_GB2312" w:eastAsia="仿宋_GB2312" w:cs="仿宋_GB2312"/>
          <w:color w:val="auto"/>
          <w:sz w:val="24"/>
          <w:szCs w:val="24"/>
          <w:highlight w:val="none"/>
        </w:rPr>
        <w:t>文件、</w:t>
      </w:r>
      <w:r>
        <w:rPr>
          <w:rFonts w:hint="eastAsia" w:ascii="仿宋_GB2312" w:hAnsi="仿宋_GB2312" w:eastAsia="仿宋_GB2312" w:cs="仿宋_GB2312"/>
          <w:sz w:val="24"/>
          <w:szCs w:val="24"/>
        </w:rPr>
        <w:t>竞争性磋商</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color w:val="auto"/>
          <w:sz w:val="24"/>
          <w:szCs w:val="24"/>
          <w:highlight w:val="none"/>
        </w:rPr>
        <w:t>文件等有关规定，为确保甲方采购项目的顺利实施，甲、乙双方在平等自愿原则下签订本合同，并共同遵守如下条款，其主要要求如下：</w:t>
      </w:r>
    </w:p>
    <w:p w14:paraId="54CB2ED8">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第一条 项目基本情况</w:t>
      </w:r>
      <w:bookmarkStart w:id="0" w:name="_GoBack"/>
      <w:bookmarkEnd w:id="0"/>
    </w:p>
    <w:p w14:paraId="2C00F44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u w:val="single"/>
          <w:lang w:val="en-US" w:eastAsia="zh-CN"/>
        </w:rPr>
      </w:pPr>
      <w:r>
        <w:rPr>
          <w:rFonts w:hint="eastAsia" w:ascii="仿宋_GB2312" w:hAnsi="仿宋_GB2312" w:eastAsia="仿宋_GB2312" w:cs="仿宋_GB2312"/>
          <w:color w:val="auto"/>
          <w:sz w:val="24"/>
          <w:szCs w:val="24"/>
          <w:highlight w:val="none"/>
          <w:lang w:val="en-US" w:eastAsia="zh-CN"/>
        </w:rPr>
        <w:t>详见磋商文件第五章采购内容及要求</w:t>
      </w:r>
      <w:r>
        <w:rPr>
          <w:rFonts w:hint="eastAsia" w:ascii="仿宋_GB2312" w:hAnsi="仿宋_GB2312" w:eastAsia="仿宋_GB2312" w:cs="仿宋_GB2312"/>
          <w:color w:val="auto"/>
          <w:sz w:val="24"/>
          <w:szCs w:val="24"/>
          <w:highlight w:val="none"/>
          <w:u w:val="single"/>
          <w:lang w:val="en-US" w:eastAsia="zh-CN"/>
        </w:rPr>
        <w:t xml:space="preserve">                 </w:t>
      </w:r>
    </w:p>
    <w:p w14:paraId="20BD6C29">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第二条 服务期限</w:t>
      </w:r>
    </w:p>
    <w:p w14:paraId="648403F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壹年，保险自202</w:t>
      </w:r>
      <w:r>
        <w:rPr>
          <w:rFonts w:hint="eastAsia" w:ascii="仿宋_GB2312" w:hAnsi="仿宋_GB2312" w:eastAsia="仿宋_GB2312" w:cs="仿宋_GB2312"/>
          <w:color w:val="auto"/>
          <w:sz w:val="24"/>
          <w:szCs w:val="24"/>
          <w:highlight w:val="none"/>
          <w:lang w:val="en-US" w:eastAsia="zh-CN"/>
        </w:rPr>
        <w:t>6</w:t>
      </w:r>
      <w:r>
        <w:rPr>
          <w:rFonts w:hint="eastAsia" w:ascii="仿宋_GB2312" w:hAnsi="仿宋_GB2312" w:eastAsia="仿宋_GB2312" w:cs="仿宋_GB2312"/>
          <w:color w:val="auto"/>
          <w:sz w:val="24"/>
          <w:szCs w:val="24"/>
          <w:highlight w:val="none"/>
        </w:rPr>
        <w:t>年9月1日起生效，至202</w:t>
      </w:r>
      <w:r>
        <w:rPr>
          <w:rFonts w:hint="eastAsia" w:ascii="仿宋_GB2312" w:hAnsi="仿宋_GB2312" w:eastAsia="仿宋_GB2312" w:cs="仿宋_GB2312"/>
          <w:color w:val="auto"/>
          <w:sz w:val="24"/>
          <w:szCs w:val="24"/>
          <w:highlight w:val="none"/>
          <w:lang w:val="en-US" w:eastAsia="zh-CN"/>
        </w:rPr>
        <w:t>7</w:t>
      </w:r>
      <w:r>
        <w:rPr>
          <w:rFonts w:hint="eastAsia" w:ascii="仿宋_GB2312" w:hAnsi="仿宋_GB2312" w:eastAsia="仿宋_GB2312" w:cs="仿宋_GB2312"/>
          <w:color w:val="auto"/>
          <w:sz w:val="24"/>
          <w:szCs w:val="24"/>
          <w:highlight w:val="none"/>
        </w:rPr>
        <w:t>年8月31日终止。</w:t>
      </w:r>
    </w:p>
    <w:p w14:paraId="35010584">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第三条 服务内容与质量标准</w:t>
      </w:r>
    </w:p>
    <w:p w14:paraId="4DAA791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3.1服务内容：详见磋商文件第五章采购内容及要求</w:t>
      </w:r>
    </w:p>
    <w:p w14:paraId="02625F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3.2质量标准</w:t>
      </w:r>
    </w:p>
    <w:p w14:paraId="0773F3D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《中华人民共和国保险法》</w:t>
      </w:r>
    </w:p>
    <w:p w14:paraId="2D1CD43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《人身保险新型产品信息披露管理办法》(中国保险监督管理委员会 2009年10月1日发布)</w:t>
      </w:r>
    </w:p>
    <w:p w14:paraId="7792B9C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《人身保险业务基本服务规定》(中国保险监督管理委员会2010年2月11日发布)</w:t>
      </w:r>
    </w:p>
    <w:p w14:paraId="3398BF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《人身保险电话销售业务管理办法》(中国保险监督管理委员会保监发[2013]40号)。</w:t>
      </w:r>
    </w:p>
    <w:p w14:paraId="465E791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依据教育部《学生伤害事故处理办法》、《最高人民法院关于审理人身意外损害赔偿案件适用法 律若干问题的解释》等相关法律法规和校方责任保险相关方案、条款、约定。</w:t>
      </w:r>
    </w:p>
    <w:p w14:paraId="12CB644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3.3验收标准</w:t>
      </w:r>
    </w:p>
    <w:p w14:paraId="4AEB8FA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（1）合同及合同附件。</w:t>
      </w:r>
    </w:p>
    <w:p w14:paraId="35ABA89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（2）国家相应的标准、规范。</w:t>
      </w:r>
    </w:p>
    <w:p w14:paraId="1648E7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（3）磋商文件、响应文件、澄清表（函）。</w:t>
      </w:r>
    </w:p>
    <w:p w14:paraId="177C5CE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3.4售后服务要求</w:t>
      </w:r>
    </w:p>
    <w:p w14:paraId="0DF0888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r>
        <w:rPr>
          <w:rFonts w:hint="default" w:ascii="仿宋_GB2312" w:hAnsi="仿宋_GB2312" w:eastAsia="仿宋_GB2312" w:cs="仿宋_GB2312"/>
          <w:color w:val="auto"/>
          <w:sz w:val="24"/>
          <w:szCs w:val="24"/>
          <w:highlight w:val="none"/>
          <w:lang w:val="en-US" w:eastAsia="zh-CN"/>
        </w:rPr>
        <w:t>针对本项目配备相关业务人员，确保按期完成投保；</w:t>
      </w:r>
    </w:p>
    <w:p w14:paraId="390CCC3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r>
        <w:rPr>
          <w:rFonts w:hint="default" w:ascii="仿宋_GB2312" w:hAnsi="仿宋_GB2312" w:eastAsia="仿宋_GB2312" w:cs="仿宋_GB2312"/>
          <w:color w:val="auto"/>
          <w:sz w:val="24"/>
          <w:szCs w:val="24"/>
          <w:highlight w:val="none"/>
          <w:lang w:val="en-US" w:eastAsia="zh-CN"/>
        </w:rPr>
        <w:t>接到投保人的投保信息通知，5天内出具保险单证，并送达到指定地方；</w:t>
      </w:r>
    </w:p>
    <w:p w14:paraId="6415E39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r>
        <w:rPr>
          <w:rFonts w:hint="default" w:ascii="仿宋_GB2312" w:hAnsi="仿宋_GB2312" w:eastAsia="仿宋_GB2312" w:cs="仿宋_GB2312"/>
          <w:color w:val="auto"/>
          <w:sz w:val="24"/>
          <w:szCs w:val="24"/>
          <w:highlight w:val="none"/>
          <w:lang w:val="en-US" w:eastAsia="zh-CN"/>
        </w:rPr>
        <w:t>每周对投保情况进行汇总，提交采购人；</w:t>
      </w:r>
    </w:p>
    <w:p w14:paraId="183941B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r>
        <w:rPr>
          <w:rFonts w:hint="default" w:ascii="仿宋_GB2312" w:hAnsi="仿宋_GB2312" w:eastAsia="仿宋_GB2312" w:cs="仿宋_GB2312"/>
          <w:color w:val="auto"/>
          <w:sz w:val="24"/>
          <w:szCs w:val="24"/>
          <w:highlight w:val="none"/>
          <w:lang w:val="en-US" w:eastAsia="zh-CN"/>
        </w:rPr>
        <w:t>被报险学校有人员变动、名称或地址变更、合并、注销、分立、设立分校等事宜时，及时做好上述事项的保全服务工作；</w:t>
      </w:r>
    </w:p>
    <w:p w14:paraId="292AC12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r>
        <w:rPr>
          <w:rFonts w:hint="default" w:ascii="仿宋_GB2312" w:hAnsi="仿宋_GB2312" w:eastAsia="仿宋_GB2312" w:cs="仿宋_GB2312"/>
          <w:color w:val="auto"/>
          <w:sz w:val="24"/>
          <w:szCs w:val="24"/>
          <w:highlight w:val="none"/>
          <w:lang w:val="en-US" w:eastAsia="zh-CN"/>
        </w:rPr>
        <w:t>具有专人负责跟采购人进行对接，确保及时处理突发情况。</w:t>
      </w:r>
    </w:p>
    <w:p w14:paraId="448A1EA4">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第四条 服务费用及支付方式</w:t>
      </w:r>
    </w:p>
    <w:p w14:paraId="201654C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1.所有投保服务完成后，且经采购人核验合格后30日内，各校单位统一向投保专户划拨保费。</w:t>
      </w:r>
    </w:p>
    <w:p w14:paraId="3C7D96C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2.供应商应于采购人每次付款前向采购人开具等额保单和发票。</w:t>
      </w:r>
    </w:p>
    <w:p w14:paraId="3496C5A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3、结算方式：银行转账。</w:t>
      </w:r>
    </w:p>
    <w:p w14:paraId="0499050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4、结算单位：由</w:t>
      </w:r>
      <w:r>
        <w:rPr>
          <w:rFonts w:hint="eastAsia" w:ascii="仿宋_GB2312" w:hAnsi="仿宋_GB2312" w:eastAsia="仿宋_GB2312" w:cs="仿宋_GB2312"/>
          <w:color w:val="auto"/>
          <w:sz w:val="24"/>
          <w:szCs w:val="24"/>
          <w:highlight w:val="none"/>
          <w:lang w:val="en-US" w:eastAsia="zh-CN"/>
        </w:rPr>
        <w:t>各</w:t>
      </w:r>
      <w:r>
        <w:rPr>
          <w:rFonts w:hint="eastAsia" w:ascii="仿宋_GB2312" w:hAnsi="仿宋_GB2312" w:eastAsia="仿宋_GB2312" w:cs="仿宋_GB2312"/>
          <w:color w:val="auto"/>
          <w:sz w:val="24"/>
          <w:szCs w:val="24"/>
          <w:highlight w:val="none"/>
        </w:rPr>
        <w:t>校方负责结算。</w:t>
      </w:r>
    </w:p>
    <w:p w14:paraId="1D34C28B">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第五条 知识产权（若有）</w:t>
      </w:r>
    </w:p>
    <w:p w14:paraId="0C331A9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乙方应保证所提供的服务或其任何一部分均不会侵犯任何第三方的专利权、商标权或著作权。</w:t>
      </w:r>
    </w:p>
    <w:p w14:paraId="010C1F54">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第六条 无产权瑕疵条款（若有）</w:t>
      </w:r>
    </w:p>
    <w:p w14:paraId="1D2229F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乙方保证所提供的服务的所有权完全属于乙方且无任何抵押、查封等产权瑕疵。如有产权瑕疵的，视为乙方违约。乙方应负担由此而产生的一切损失。</w:t>
      </w:r>
    </w:p>
    <w:p w14:paraId="4B508198">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第七条 甲方的权利和义务</w:t>
      </w:r>
    </w:p>
    <w:p w14:paraId="1BF6354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5BED47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2、甲方有权依据双方签订的考评办法对乙方提供的服务进行定期考评。当考评结果未达到标准时，有权依据考评办法约定的数额扣除履约保证金。</w:t>
      </w:r>
    </w:p>
    <w:p w14:paraId="7522D47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3、负责检查监督乙方管理工作的实施及制度的执行情况。</w:t>
      </w:r>
    </w:p>
    <w:p w14:paraId="6586D09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4、根据本合同规定，按时向乙方支付应付服务费用。</w:t>
      </w:r>
    </w:p>
    <w:p w14:paraId="59F10E8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5、国家法律、法规所规定由甲方承担的其它责任。</w:t>
      </w:r>
    </w:p>
    <w:p w14:paraId="6CD50350">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第八条 乙方的权利和义务</w:t>
      </w:r>
    </w:p>
    <w:p w14:paraId="2019D45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完成采购人约定及响应文件承诺的全部内容；</w:t>
      </w:r>
      <w:r>
        <w:rPr>
          <w:rFonts w:hint="eastAsia" w:ascii="仿宋_GB2312" w:hAnsi="仿宋_GB2312" w:eastAsia="仿宋_GB2312" w:cs="仿宋_GB2312"/>
          <w:color w:val="auto"/>
          <w:sz w:val="24"/>
          <w:szCs w:val="24"/>
          <w:highlight w:val="none"/>
        </w:rPr>
        <w:t>对本合同规定的委托服务范围内的项目享有管理权及服务义务。</w:t>
      </w:r>
    </w:p>
    <w:p w14:paraId="0D8265F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2、根据本合同的规定向甲方收取相关服务费用，并有权在本项目管理范围内管理及合理使用。</w:t>
      </w:r>
    </w:p>
    <w:p w14:paraId="0815A6C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3、及时向甲方通告本项目服务范围内有关服务的重大事项，及时配合处理投诉。</w:t>
      </w:r>
    </w:p>
    <w:p w14:paraId="4B92FD6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4、接受项目行业管理部门及政府有关部门的指导，接受甲方的监督。</w:t>
      </w:r>
    </w:p>
    <w:p w14:paraId="2103996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5、国家法律、法规所规定由乙方承担的其它责任。</w:t>
      </w:r>
    </w:p>
    <w:p w14:paraId="6B218B3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第九条 业务管理</w:t>
      </w:r>
    </w:p>
    <w:p w14:paraId="1D51855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1、根据招标人的要求及时报送《</w:t>
      </w:r>
      <w:r>
        <w:rPr>
          <w:rFonts w:hint="eastAsia" w:ascii="仿宋_GB2312" w:hAnsi="仿宋_GB2312" w:eastAsia="仿宋_GB2312" w:cs="仿宋_GB2312"/>
          <w:color w:val="auto"/>
          <w:sz w:val="24"/>
          <w:szCs w:val="24"/>
          <w:highlight w:val="none"/>
          <w:lang w:val="en-US" w:eastAsia="zh-CN"/>
        </w:rPr>
        <w:t>镇巴</w:t>
      </w:r>
      <w:r>
        <w:rPr>
          <w:rFonts w:hint="eastAsia" w:ascii="仿宋_GB2312" w:hAnsi="仿宋_GB2312" w:eastAsia="仿宋_GB2312" w:cs="仿宋_GB2312"/>
          <w:color w:val="auto"/>
          <w:sz w:val="24"/>
          <w:szCs w:val="24"/>
          <w:highlight w:val="none"/>
        </w:rPr>
        <w:t>县教育</w:t>
      </w:r>
      <w:r>
        <w:rPr>
          <w:rFonts w:hint="eastAsia" w:ascii="仿宋_GB2312" w:hAnsi="仿宋_GB2312" w:eastAsia="仿宋_GB2312" w:cs="仿宋_GB2312"/>
          <w:color w:val="auto"/>
          <w:sz w:val="24"/>
          <w:szCs w:val="24"/>
          <w:highlight w:val="none"/>
          <w:lang w:val="en-US" w:eastAsia="zh-CN"/>
        </w:rPr>
        <w:t>体育</w:t>
      </w:r>
      <w:r>
        <w:rPr>
          <w:rFonts w:hint="eastAsia" w:ascii="仿宋_GB2312" w:hAnsi="仿宋_GB2312" w:eastAsia="仿宋_GB2312" w:cs="仿宋_GB2312"/>
          <w:color w:val="auto"/>
          <w:sz w:val="24"/>
          <w:szCs w:val="24"/>
          <w:highlight w:val="none"/>
        </w:rPr>
        <w:t>局校方责任保险情况汇总表》、《镇巴县教育体育局校方责任保险赔款情况汇总表》，承诺统计填报的承保情况数据资料准确、完整，无隐瞒；</w:t>
      </w:r>
    </w:p>
    <w:p w14:paraId="64DC46A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2、按照</w:t>
      </w:r>
      <w:r>
        <w:rPr>
          <w:rFonts w:hint="eastAsia" w:ascii="仿宋_GB2312" w:hAnsi="仿宋_GB2312" w:eastAsia="仿宋_GB2312" w:cs="仿宋_GB2312"/>
          <w:color w:val="auto"/>
          <w:sz w:val="24"/>
          <w:szCs w:val="24"/>
          <w:highlight w:val="none"/>
          <w:lang w:val="en-US" w:eastAsia="zh-CN"/>
        </w:rPr>
        <w:t>镇巴</w:t>
      </w:r>
      <w:r>
        <w:rPr>
          <w:rFonts w:hint="eastAsia" w:ascii="仿宋_GB2312" w:hAnsi="仿宋_GB2312" w:eastAsia="仿宋_GB2312" w:cs="仿宋_GB2312"/>
          <w:color w:val="auto"/>
          <w:sz w:val="24"/>
          <w:szCs w:val="24"/>
          <w:highlight w:val="none"/>
        </w:rPr>
        <w:t>县教育</w:t>
      </w:r>
      <w:r>
        <w:rPr>
          <w:rFonts w:hint="eastAsia" w:ascii="仿宋_GB2312" w:hAnsi="仿宋_GB2312" w:eastAsia="仿宋_GB2312" w:cs="仿宋_GB2312"/>
          <w:color w:val="auto"/>
          <w:sz w:val="24"/>
          <w:szCs w:val="24"/>
          <w:highlight w:val="none"/>
          <w:lang w:val="en-US" w:eastAsia="zh-CN"/>
        </w:rPr>
        <w:t>体育</w:t>
      </w:r>
      <w:r>
        <w:rPr>
          <w:rFonts w:hint="eastAsia" w:ascii="仿宋_GB2312" w:hAnsi="仿宋_GB2312" w:eastAsia="仿宋_GB2312" w:cs="仿宋_GB2312"/>
          <w:color w:val="auto"/>
          <w:sz w:val="24"/>
          <w:szCs w:val="24"/>
          <w:highlight w:val="none"/>
        </w:rPr>
        <w:t>局和联合经纪的要求，为被保险学校建立专门的档案，执行业务管理所需的相关手续，开展跟踪服务。</w:t>
      </w:r>
    </w:p>
    <w:p w14:paraId="15241B75">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第十条 违约责任</w:t>
      </w:r>
    </w:p>
    <w:p w14:paraId="7BCFD27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1、甲乙双方必须遵守本合同并执行合同中的各项规定，保证本合同的正常履行。</w:t>
      </w:r>
    </w:p>
    <w:p w14:paraId="749BB22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E83760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第十一条 不可抗力事件处理</w:t>
      </w:r>
    </w:p>
    <w:p w14:paraId="247410A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1、在合同有效期内，任何一方因不可抗力事件导致不能履行合同，则合同履行期可延长，其延长期与不可抗力影响期相同。</w:t>
      </w:r>
    </w:p>
    <w:p w14:paraId="00D01CE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2、不可抗力事件发生后，应立即通知对方，并寄送有关权威机构出具的证明。</w:t>
      </w:r>
    </w:p>
    <w:p w14:paraId="07A187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3、不可抗力事件延续</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天以上，双方应通过友好协商，确定是否继续履行合同。</w:t>
      </w:r>
    </w:p>
    <w:p w14:paraId="1892CD4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w:t>
      </w:r>
      <w:r>
        <w:rPr>
          <w:rFonts w:hint="eastAsia" w:ascii="仿宋_GB2312" w:hAnsi="仿宋_GB2312" w:eastAsia="仿宋_GB2312" w:cs="仿宋_GB2312"/>
          <w:b/>
          <w:bCs/>
          <w:color w:val="auto"/>
          <w:sz w:val="24"/>
          <w:szCs w:val="24"/>
          <w:highlight w:val="none"/>
          <w:lang w:val="en-US" w:eastAsia="zh-CN"/>
        </w:rPr>
        <w:t>二</w:t>
      </w:r>
      <w:r>
        <w:rPr>
          <w:rFonts w:hint="eastAsia" w:ascii="仿宋_GB2312" w:hAnsi="仿宋_GB2312" w:eastAsia="仿宋_GB2312" w:cs="仿宋_GB2312"/>
          <w:b/>
          <w:bCs/>
          <w:color w:val="auto"/>
          <w:sz w:val="24"/>
          <w:szCs w:val="24"/>
          <w:highlight w:val="none"/>
        </w:rPr>
        <w:t>条 合同的变更和终止</w:t>
      </w:r>
    </w:p>
    <w:p w14:paraId="054DE94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除《中华人民共和国政府采购法》第49条、第50条第二款规定的情形外，本合同一经签订，甲乙双方不得擅自变更、中止或终止合同。</w:t>
      </w:r>
    </w:p>
    <w:p w14:paraId="4245522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w:t>
      </w:r>
      <w:r>
        <w:rPr>
          <w:rFonts w:hint="eastAsia" w:ascii="仿宋_GB2312" w:hAnsi="仿宋_GB2312" w:eastAsia="仿宋_GB2312" w:cs="仿宋_GB2312"/>
          <w:b/>
          <w:bCs/>
          <w:color w:val="auto"/>
          <w:sz w:val="24"/>
          <w:szCs w:val="24"/>
          <w:highlight w:val="none"/>
          <w:lang w:val="en-US" w:eastAsia="zh-CN"/>
        </w:rPr>
        <w:t>三</w:t>
      </w:r>
      <w:r>
        <w:rPr>
          <w:rFonts w:hint="eastAsia" w:ascii="仿宋_GB2312" w:hAnsi="仿宋_GB2312" w:eastAsia="仿宋_GB2312" w:cs="仿宋_GB2312"/>
          <w:b/>
          <w:bCs/>
          <w:color w:val="auto"/>
          <w:sz w:val="24"/>
          <w:szCs w:val="24"/>
          <w:highlight w:val="none"/>
        </w:rPr>
        <w:t>条 解决合同纠纷的方式</w:t>
      </w:r>
    </w:p>
    <w:p w14:paraId="44BFD31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1、在执行本合同中发生的或与本合同有关的争端，双方应通过友好协商解决，经协商在</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天内不能达成协议时，则采取以下</w:t>
      </w:r>
      <w:r>
        <w:rPr>
          <w:rFonts w:hint="eastAsia" w:ascii="仿宋_GB2312" w:hAnsi="仿宋_GB2312" w:eastAsia="仿宋_GB2312" w:cs="仿宋_GB2312"/>
          <w:color w:val="auto"/>
          <w:sz w:val="24"/>
          <w:szCs w:val="24"/>
          <w:highlight w:val="none"/>
          <w:lang w:val="en-US" w:eastAsia="zh-CN"/>
        </w:rPr>
        <w:t>第三种</w:t>
      </w:r>
      <w:r>
        <w:rPr>
          <w:rFonts w:hint="eastAsia" w:ascii="仿宋_GB2312" w:hAnsi="仿宋_GB2312" w:eastAsia="仿宋_GB2312" w:cs="仿宋_GB2312"/>
          <w:color w:val="auto"/>
          <w:sz w:val="24"/>
          <w:szCs w:val="24"/>
          <w:highlight w:val="none"/>
        </w:rPr>
        <w:t>方式解决争议：</w:t>
      </w:r>
    </w:p>
    <w:p w14:paraId="338902A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（1）由供应商做出选择；</w:t>
      </w:r>
    </w:p>
    <w:p w14:paraId="0B299FA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（2）向</w:t>
      </w:r>
      <w:r>
        <w:rPr>
          <w:rFonts w:hint="eastAsia" w:ascii="仿宋_GB2312" w:hAnsi="仿宋_GB2312" w:eastAsia="仿宋_GB2312" w:cs="仿宋_GB2312"/>
          <w:color w:val="auto"/>
          <w:sz w:val="24"/>
          <w:szCs w:val="24"/>
          <w:highlight w:val="none"/>
          <w:lang w:val="en-US" w:eastAsia="zh-CN"/>
        </w:rPr>
        <w:t>汉中市</w:t>
      </w:r>
      <w:r>
        <w:rPr>
          <w:rFonts w:hint="eastAsia" w:ascii="仿宋_GB2312" w:hAnsi="仿宋_GB2312" w:eastAsia="仿宋_GB2312" w:cs="仿宋_GB2312"/>
          <w:color w:val="auto"/>
          <w:sz w:val="24"/>
          <w:szCs w:val="24"/>
          <w:highlight w:val="none"/>
        </w:rPr>
        <w:t>仲裁委员会提请仲裁；</w:t>
      </w:r>
    </w:p>
    <w:p w14:paraId="3CF79B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（3）向</w:t>
      </w:r>
      <w:r>
        <w:rPr>
          <w:rFonts w:hint="eastAsia" w:ascii="仿宋_GB2312" w:hAnsi="仿宋_GB2312" w:eastAsia="仿宋_GB2312" w:cs="仿宋_GB2312"/>
          <w:color w:val="auto"/>
          <w:sz w:val="24"/>
          <w:szCs w:val="24"/>
          <w:highlight w:val="none"/>
          <w:lang w:val="en-US" w:eastAsia="zh-CN"/>
        </w:rPr>
        <w:t>镇巴县</w:t>
      </w:r>
      <w:r>
        <w:rPr>
          <w:rFonts w:hint="eastAsia" w:ascii="仿宋_GB2312" w:hAnsi="仿宋_GB2312" w:eastAsia="仿宋_GB2312" w:cs="仿宋_GB2312"/>
          <w:color w:val="auto"/>
          <w:sz w:val="24"/>
          <w:szCs w:val="24"/>
          <w:highlight w:val="none"/>
        </w:rPr>
        <w:t>人民法院提起诉讼。</w:t>
      </w:r>
    </w:p>
    <w:p w14:paraId="5076103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2、在仲裁期间，本合同应继续履行。</w:t>
      </w:r>
    </w:p>
    <w:p w14:paraId="5BE5E2CE">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w:t>
      </w:r>
      <w:r>
        <w:rPr>
          <w:rFonts w:hint="eastAsia" w:ascii="仿宋_GB2312" w:hAnsi="仿宋_GB2312" w:eastAsia="仿宋_GB2312" w:cs="仿宋_GB2312"/>
          <w:b/>
          <w:bCs/>
          <w:color w:val="auto"/>
          <w:sz w:val="24"/>
          <w:szCs w:val="24"/>
          <w:highlight w:val="none"/>
          <w:lang w:val="en-US" w:eastAsia="zh-CN"/>
        </w:rPr>
        <w:t>四</w:t>
      </w:r>
      <w:r>
        <w:rPr>
          <w:rFonts w:hint="eastAsia" w:ascii="仿宋_GB2312" w:hAnsi="仿宋_GB2312" w:eastAsia="仿宋_GB2312" w:cs="仿宋_GB2312"/>
          <w:b/>
          <w:bCs/>
          <w:color w:val="auto"/>
          <w:sz w:val="24"/>
          <w:szCs w:val="24"/>
          <w:highlight w:val="none"/>
        </w:rPr>
        <w:t>条 合同生效及其他</w:t>
      </w:r>
    </w:p>
    <w:p w14:paraId="5F6A482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1、合同经双方法定代表人（单位负责人）或授权委托代理人签字并加盖单位公章并由采购代理机构盖章后生效。</w:t>
      </w:r>
    </w:p>
    <w:p w14:paraId="4482688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41618CB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3、本合同一式</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份，自双方签章之日起起效。甲方</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份，乙方</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份，具有同等法律效力。</w:t>
      </w:r>
    </w:p>
    <w:p w14:paraId="42B805BC">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t>第十</w:t>
      </w:r>
      <w:r>
        <w:rPr>
          <w:rFonts w:hint="eastAsia" w:ascii="仿宋_GB2312" w:hAnsi="仿宋_GB2312" w:eastAsia="仿宋_GB2312" w:cs="仿宋_GB2312"/>
          <w:b/>
          <w:bCs/>
          <w:color w:val="auto"/>
          <w:sz w:val="24"/>
          <w:szCs w:val="24"/>
          <w:highlight w:val="none"/>
          <w:lang w:val="en-US" w:eastAsia="zh-CN"/>
        </w:rPr>
        <w:t>五</w:t>
      </w:r>
      <w:r>
        <w:rPr>
          <w:rFonts w:hint="eastAsia" w:ascii="仿宋_GB2312" w:hAnsi="仿宋_GB2312" w:eastAsia="仿宋_GB2312" w:cs="仿宋_GB2312"/>
          <w:b/>
          <w:bCs/>
          <w:color w:val="auto"/>
          <w:sz w:val="24"/>
          <w:szCs w:val="24"/>
          <w:highlight w:val="none"/>
        </w:rPr>
        <w:t>条 附件</w:t>
      </w:r>
    </w:p>
    <w:p w14:paraId="2DC7134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1、项目磋商文件</w:t>
      </w:r>
    </w:p>
    <w:p w14:paraId="6B517DC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2、项目修改澄清文件</w:t>
      </w:r>
    </w:p>
    <w:p w14:paraId="59D7CE1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3、项目响应文件</w:t>
      </w:r>
    </w:p>
    <w:p w14:paraId="7E59E61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4、成交通知书</w:t>
      </w:r>
    </w:p>
    <w:p w14:paraId="7A78E508">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5、其他</w:t>
      </w:r>
    </w:p>
    <w:p w14:paraId="784CF883">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p>
    <w:p w14:paraId="49FD0063">
      <w:pPr>
        <w:pStyle w:val="2"/>
        <w:keepNext w:val="0"/>
        <w:keepLines w:val="0"/>
        <w:pageBreakBefore w:val="0"/>
        <w:widowControl w:val="0"/>
        <w:kinsoku/>
        <w:wordWrap/>
        <w:overflowPunct/>
        <w:topLinePunct w:val="0"/>
        <w:bidi w:val="0"/>
        <w:snapToGrid/>
        <w:spacing w:after="0" w:afterLines="0" w:line="360" w:lineRule="auto"/>
        <w:textAlignment w:val="auto"/>
        <w:rPr>
          <w:rFonts w:hint="eastAsia" w:ascii="仿宋_GB2312" w:hAnsi="仿宋_GB2312" w:eastAsia="仿宋_GB2312" w:cs="仿宋_GB2312"/>
          <w:sz w:val="24"/>
          <w:szCs w:val="24"/>
          <w:highlight w:val="none"/>
        </w:rPr>
      </w:pPr>
    </w:p>
    <w:p w14:paraId="74351F42">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 xml:space="preserve">（盖章）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乙方：</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 xml:space="preserve"> （盖章）</w:t>
      </w:r>
    </w:p>
    <w:p w14:paraId="1BA97C67">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法定代表人：</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法定代表人：</w:t>
      </w:r>
      <w:r>
        <w:rPr>
          <w:rFonts w:hint="eastAsia" w:ascii="仿宋_GB2312" w:hAnsi="仿宋_GB2312" w:eastAsia="仿宋_GB2312" w:cs="仿宋_GB2312"/>
          <w:sz w:val="24"/>
          <w:szCs w:val="24"/>
          <w:highlight w:val="none"/>
          <w:lang w:val="en-US" w:eastAsia="zh-CN"/>
        </w:rPr>
        <w:t xml:space="preserve"> </w:t>
      </w:r>
    </w:p>
    <w:p w14:paraId="0E7D438D">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val="en-US" w:eastAsia="zh-CN"/>
        </w:rPr>
        <w:t xml:space="preserve">  </w:t>
      </w:r>
    </w:p>
    <w:p w14:paraId="378496EF">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地 址：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地 址：</w:t>
      </w:r>
    </w:p>
    <w:p w14:paraId="68AA8B78">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开户银行：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开户银行：</w:t>
      </w:r>
    </w:p>
    <w:p w14:paraId="58754F84">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账号：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账号：</w:t>
      </w:r>
    </w:p>
    <w:p w14:paraId="4B7154AA">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电 话：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电 话：</w:t>
      </w:r>
    </w:p>
    <w:p w14:paraId="122BF845">
      <w:pPr>
        <w:pStyle w:val="2"/>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传 真：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传 真：</w:t>
      </w:r>
    </w:p>
    <w:p w14:paraId="11489588">
      <w:pPr>
        <w:pStyle w:val="2"/>
        <w:keepNext w:val="0"/>
        <w:keepLines w:val="0"/>
        <w:pageBreakBefore w:val="0"/>
        <w:widowControl w:val="0"/>
        <w:kinsoku/>
        <w:wordWrap/>
        <w:overflowPunct/>
        <w:topLinePunct w:val="0"/>
        <w:bidi w:val="0"/>
        <w:snapToGrid/>
        <w:spacing w:after="0" w:afterLines="0"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highlight w:val="none"/>
        </w:rPr>
        <w:t>签约日期：</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 xml:space="preserve">日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签约日期：</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lang w:val="en-US" w:eastAsia="zh-CN"/>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lang w:val="en-US" w:eastAsia="zh-CN"/>
        </w:rPr>
        <w:t xml:space="preserve">   日</w:t>
      </w:r>
    </w:p>
    <w:p w14:paraId="27B2C86B">
      <w:pPr>
        <w:autoSpaceDE w:val="0"/>
        <w:autoSpaceDN w:val="0"/>
        <w:adjustRightInd w:val="0"/>
        <w:spacing w:line="360" w:lineRule="auto"/>
        <w:jc w:val="left"/>
        <w:rPr>
          <w:rFonts w:ascii="仿宋_GB2312" w:hAnsi="仿宋_GB2312" w:eastAsia="仿宋_GB2312" w:cs="仿宋_GB2312"/>
          <w:b/>
          <w:bCs/>
          <w:sz w:val="32"/>
          <w:szCs w:val="32"/>
        </w:rPr>
      </w:pPr>
    </w:p>
    <w:p w14:paraId="1B2AE679">
      <w:pPr>
        <w:autoSpaceDE w:val="0"/>
        <w:autoSpaceDN w:val="0"/>
        <w:adjustRightInd w:val="0"/>
        <w:jc w:val="left"/>
        <w:rPr>
          <w:rFonts w:ascii="仿宋_GB2312" w:hAnsi="仿宋_GB2312" w:eastAsia="仿宋_GB2312" w:cs="仿宋_GB2312"/>
          <w:b/>
          <w:bCs/>
          <w:sz w:val="32"/>
          <w:szCs w:val="32"/>
        </w:rPr>
      </w:pPr>
    </w:p>
    <w:p w14:paraId="4E4B4007">
      <w:pPr>
        <w:pStyle w:val="2"/>
        <w:rPr>
          <w:rFonts w:ascii="Times New Roman" w:hAnsi="Times New Roman" w:eastAsia="仿宋_GB2312"/>
        </w:rPr>
      </w:pPr>
    </w:p>
    <w:p w14:paraId="10111399">
      <w:pPr>
        <w:rPr>
          <w:rFonts w:eastAsia="仿宋_GB2312"/>
          <w:sz w:val="24"/>
        </w:rPr>
      </w:pPr>
      <w:r>
        <w:rPr>
          <w:rFonts w:eastAsia="仿宋_GB2312"/>
          <w:sz w:val="24"/>
        </w:rPr>
        <w:br w:type="page"/>
      </w:r>
    </w:p>
    <w:p w14:paraId="1F652D48">
      <w:pPr>
        <w:spacing w:line="360" w:lineRule="auto"/>
        <w:ind w:firstLine="480" w:firstLineChars="200"/>
        <w:rPr>
          <w:rFonts w:eastAsia="仿宋_GB2312"/>
          <w:sz w:val="24"/>
        </w:rPr>
      </w:pPr>
      <w:r>
        <w:rPr>
          <w:rFonts w:eastAsia="仿宋_GB2312"/>
          <w:sz w:val="24"/>
        </w:rPr>
        <w:t>合同附件1：</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0D0AB9EF">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33738EEE">
            <w:pPr>
              <w:widowControl/>
              <w:jc w:val="center"/>
              <w:rPr>
                <w:rFonts w:eastAsia="仿宋_GB2312"/>
                <w:b/>
                <w:bCs/>
                <w:kern w:val="0"/>
                <w:sz w:val="32"/>
                <w:szCs w:val="32"/>
              </w:rPr>
            </w:pPr>
            <w:r>
              <w:rPr>
                <w:rFonts w:eastAsia="仿宋_GB2312"/>
                <w:b/>
                <w:bCs/>
                <w:kern w:val="0"/>
                <w:sz w:val="32"/>
                <w:szCs w:val="32"/>
              </w:rPr>
              <w:t>政府采购项目货物（服务）验收入库报告单</w:t>
            </w:r>
          </w:p>
        </w:tc>
      </w:tr>
      <w:tr w14:paraId="3F467F72">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5A9D7A2">
            <w:pPr>
              <w:widowControl/>
              <w:jc w:val="center"/>
              <w:rPr>
                <w:rFonts w:eastAsia="仿宋_GB2312"/>
                <w:b/>
                <w:bCs/>
                <w:kern w:val="0"/>
                <w:sz w:val="24"/>
              </w:rPr>
            </w:pPr>
            <w:r>
              <w:rPr>
                <w:rFonts w:eastAsia="仿宋_GB2312"/>
                <w:b/>
                <w:bCs/>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48A4E7C9">
            <w:pPr>
              <w:widowControl/>
              <w:jc w:val="center"/>
              <w:rPr>
                <w:rFonts w:eastAsia="仿宋_GB2312"/>
                <w:kern w:val="0"/>
                <w:sz w:val="24"/>
              </w:rPr>
            </w:pPr>
            <w:r>
              <w:rPr>
                <w:rFonts w:eastAsia="仿宋_GB2312"/>
                <w:kern w:val="0"/>
                <w:sz w:val="24"/>
              </w:rPr>
              <w:t>　</w:t>
            </w:r>
          </w:p>
        </w:tc>
      </w:tr>
      <w:tr w14:paraId="555CA62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7B8C619E">
            <w:pPr>
              <w:widowControl/>
              <w:jc w:val="center"/>
              <w:rPr>
                <w:rFonts w:eastAsia="仿宋_GB2312"/>
                <w:b/>
                <w:bCs/>
                <w:kern w:val="0"/>
                <w:sz w:val="24"/>
              </w:rPr>
            </w:pPr>
            <w:r>
              <w:rPr>
                <w:rFonts w:eastAsia="仿宋_GB2312"/>
                <w:b/>
                <w:bCs/>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2CDA7A1A">
            <w:pPr>
              <w:widowControl/>
              <w:jc w:val="center"/>
              <w:rPr>
                <w:rFonts w:eastAsia="仿宋_GB2312"/>
                <w:kern w:val="0"/>
                <w:sz w:val="24"/>
              </w:rPr>
            </w:pPr>
            <w:r>
              <w:rPr>
                <w:rFonts w:eastAsia="仿宋_GB2312"/>
                <w:kern w:val="0"/>
                <w:sz w:val="24"/>
              </w:rPr>
              <w:t>　</w:t>
            </w:r>
          </w:p>
        </w:tc>
      </w:tr>
      <w:tr w14:paraId="74B14EB5">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177AFDEF">
            <w:pPr>
              <w:widowControl/>
              <w:jc w:val="center"/>
              <w:rPr>
                <w:rFonts w:eastAsia="仿宋_GB2312"/>
                <w:b/>
                <w:bCs/>
                <w:kern w:val="0"/>
                <w:sz w:val="24"/>
              </w:rPr>
            </w:pPr>
            <w:r>
              <w:rPr>
                <w:rFonts w:eastAsia="仿宋_GB2312"/>
                <w:b/>
                <w:bCs/>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7D29C4F2">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1CA0BC56">
            <w:pPr>
              <w:widowControl/>
              <w:jc w:val="center"/>
              <w:rPr>
                <w:rFonts w:eastAsia="仿宋_GB2312"/>
                <w:b/>
                <w:bCs/>
                <w:kern w:val="0"/>
                <w:sz w:val="24"/>
              </w:rPr>
            </w:pPr>
            <w:r>
              <w:rPr>
                <w:rFonts w:eastAsia="仿宋_GB2312"/>
                <w:b/>
                <w:bCs/>
                <w:kern w:val="0"/>
                <w:sz w:val="24"/>
              </w:rPr>
              <w:t>合同金额</w:t>
            </w:r>
          </w:p>
        </w:tc>
        <w:tc>
          <w:tcPr>
            <w:tcW w:w="1248" w:type="pct"/>
            <w:tcBorders>
              <w:top w:val="nil"/>
              <w:left w:val="nil"/>
              <w:bottom w:val="single" w:color="auto" w:sz="4" w:space="0"/>
              <w:right w:val="single" w:color="auto" w:sz="8" w:space="0"/>
            </w:tcBorders>
            <w:noWrap/>
            <w:vAlign w:val="center"/>
          </w:tcPr>
          <w:p w14:paraId="55DB0F83">
            <w:pPr>
              <w:widowControl/>
              <w:jc w:val="left"/>
              <w:rPr>
                <w:rFonts w:eastAsia="仿宋_GB2312"/>
                <w:b/>
                <w:bCs/>
                <w:kern w:val="0"/>
                <w:sz w:val="24"/>
              </w:rPr>
            </w:pPr>
            <w:r>
              <w:rPr>
                <w:rFonts w:eastAsia="仿宋_GB2312"/>
                <w:b/>
                <w:bCs/>
                <w:kern w:val="0"/>
                <w:sz w:val="24"/>
              </w:rPr>
              <w:t>¥</w:t>
            </w:r>
            <w:r>
              <w:rPr>
                <w:rFonts w:hint="eastAsia" w:eastAsia="仿宋_GB2312"/>
                <w:b/>
                <w:bCs/>
                <w:kern w:val="0"/>
                <w:sz w:val="24"/>
              </w:rPr>
              <w:t>：</w:t>
            </w:r>
          </w:p>
        </w:tc>
      </w:tr>
      <w:tr w14:paraId="60775E10">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3EF359C2">
            <w:pPr>
              <w:widowControl/>
              <w:jc w:val="left"/>
              <w:rPr>
                <w:rFonts w:eastAsia="仿宋_GB2312"/>
                <w:b/>
                <w:bCs/>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3F8461AF">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3E47D1FC">
            <w:pPr>
              <w:widowControl/>
              <w:jc w:val="center"/>
              <w:rPr>
                <w:rFonts w:eastAsia="仿宋_GB2312"/>
                <w:b/>
                <w:bCs/>
                <w:kern w:val="0"/>
                <w:sz w:val="24"/>
              </w:rPr>
            </w:pPr>
            <w:r>
              <w:rPr>
                <w:rFonts w:eastAsia="仿宋_GB2312"/>
                <w:b/>
                <w:bCs/>
                <w:kern w:val="0"/>
                <w:sz w:val="24"/>
              </w:rPr>
              <w:t>验收时间/地点</w:t>
            </w:r>
          </w:p>
        </w:tc>
        <w:tc>
          <w:tcPr>
            <w:tcW w:w="1248" w:type="pct"/>
            <w:tcBorders>
              <w:top w:val="nil"/>
              <w:left w:val="nil"/>
              <w:bottom w:val="single" w:color="auto" w:sz="4" w:space="0"/>
              <w:right w:val="single" w:color="auto" w:sz="8" w:space="0"/>
            </w:tcBorders>
            <w:noWrap/>
            <w:vAlign w:val="center"/>
          </w:tcPr>
          <w:p w14:paraId="3CC90D7D">
            <w:pPr>
              <w:widowControl/>
              <w:jc w:val="center"/>
              <w:rPr>
                <w:rFonts w:eastAsia="仿宋_GB2312"/>
                <w:kern w:val="0"/>
                <w:sz w:val="24"/>
              </w:rPr>
            </w:pPr>
            <w:r>
              <w:rPr>
                <w:rFonts w:eastAsia="仿宋_GB2312"/>
                <w:kern w:val="0"/>
                <w:sz w:val="24"/>
              </w:rPr>
              <w:t>　</w:t>
            </w:r>
          </w:p>
        </w:tc>
      </w:tr>
      <w:tr w14:paraId="2003FCC4">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438473FF">
            <w:pPr>
              <w:widowControl/>
              <w:jc w:val="center"/>
              <w:rPr>
                <w:rFonts w:eastAsia="仿宋_GB2312"/>
                <w:b/>
                <w:bCs/>
                <w:kern w:val="0"/>
                <w:sz w:val="24"/>
              </w:rPr>
            </w:pPr>
            <w:r>
              <w:rPr>
                <w:rFonts w:eastAsia="仿宋_GB2312"/>
                <w:b/>
                <w:bCs/>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115AFDA">
            <w:pPr>
              <w:widowControl/>
              <w:jc w:val="center"/>
              <w:rPr>
                <w:rFonts w:eastAsia="仿宋_GB2312"/>
                <w:kern w:val="0"/>
                <w:sz w:val="24"/>
              </w:rPr>
            </w:pPr>
            <w:r>
              <w:rPr>
                <w:rFonts w:eastAsia="仿宋_GB2312"/>
                <w:kern w:val="0"/>
                <w:sz w:val="24"/>
              </w:rPr>
              <w:t>　</w:t>
            </w:r>
          </w:p>
        </w:tc>
      </w:tr>
      <w:tr w14:paraId="13F43FC0">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7945C70">
            <w:pPr>
              <w:widowControl/>
              <w:jc w:val="center"/>
              <w:rPr>
                <w:rFonts w:eastAsia="仿宋_GB2312"/>
                <w:b/>
                <w:bCs/>
                <w:kern w:val="0"/>
                <w:sz w:val="24"/>
              </w:rPr>
            </w:pPr>
            <w:r>
              <w:rPr>
                <w:rFonts w:eastAsia="仿宋_GB2312"/>
                <w:b/>
                <w:bCs/>
                <w:kern w:val="0"/>
                <w:sz w:val="24"/>
              </w:rPr>
              <w:t>开户行</w:t>
            </w:r>
          </w:p>
        </w:tc>
        <w:tc>
          <w:tcPr>
            <w:tcW w:w="1349" w:type="pct"/>
            <w:tcBorders>
              <w:top w:val="nil"/>
              <w:left w:val="nil"/>
              <w:bottom w:val="single" w:color="auto" w:sz="4" w:space="0"/>
              <w:right w:val="single" w:color="auto" w:sz="4" w:space="0"/>
            </w:tcBorders>
            <w:noWrap/>
            <w:vAlign w:val="center"/>
          </w:tcPr>
          <w:p w14:paraId="47547A9C">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7B5C9119">
            <w:pPr>
              <w:widowControl/>
              <w:jc w:val="center"/>
              <w:rPr>
                <w:rFonts w:eastAsia="仿宋_GB2312"/>
                <w:b/>
                <w:bCs/>
                <w:kern w:val="0"/>
                <w:sz w:val="24"/>
              </w:rPr>
            </w:pPr>
            <w:r>
              <w:rPr>
                <w:rFonts w:eastAsia="仿宋_GB2312"/>
                <w:b/>
                <w:bCs/>
                <w:kern w:val="0"/>
                <w:sz w:val="24"/>
              </w:rPr>
              <w:t>账号</w:t>
            </w:r>
          </w:p>
        </w:tc>
        <w:tc>
          <w:tcPr>
            <w:tcW w:w="1248" w:type="pct"/>
            <w:tcBorders>
              <w:top w:val="nil"/>
              <w:left w:val="nil"/>
              <w:bottom w:val="single" w:color="auto" w:sz="4" w:space="0"/>
              <w:right w:val="single" w:color="auto" w:sz="8" w:space="0"/>
            </w:tcBorders>
            <w:noWrap/>
            <w:vAlign w:val="center"/>
          </w:tcPr>
          <w:p w14:paraId="483D518A">
            <w:pPr>
              <w:widowControl/>
              <w:jc w:val="center"/>
              <w:rPr>
                <w:rFonts w:eastAsia="仿宋_GB2312"/>
                <w:kern w:val="0"/>
                <w:sz w:val="24"/>
              </w:rPr>
            </w:pPr>
            <w:r>
              <w:rPr>
                <w:rFonts w:eastAsia="仿宋_GB2312"/>
                <w:kern w:val="0"/>
                <w:sz w:val="24"/>
              </w:rPr>
              <w:t>　</w:t>
            </w:r>
          </w:p>
        </w:tc>
      </w:tr>
      <w:tr w14:paraId="55F9F4C3">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107D72CC">
            <w:pPr>
              <w:widowControl/>
              <w:jc w:val="center"/>
              <w:rPr>
                <w:rFonts w:eastAsia="仿宋_GB2312"/>
                <w:b/>
                <w:bCs/>
                <w:kern w:val="0"/>
                <w:sz w:val="24"/>
              </w:rPr>
            </w:pPr>
            <w:r>
              <w:rPr>
                <w:rFonts w:eastAsia="仿宋_GB2312"/>
                <w:b/>
                <w:bCs/>
                <w:kern w:val="0"/>
                <w:sz w:val="24"/>
              </w:rPr>
              <w:t>联系人</w:t>
            </w:r>
          </w:p>
        </w:tc>
        <w:tc>
          <w:tcPr>
            <w:tcW w:w="1349" w:type="pct"/>
            <w:tcBorders>
              <w:top w:val="nil"/>
              <w:left w:val="nil"/>
              <w:bottom w:val="nil"/>
              <w:right w:val="single" w:color="auto" w:sz="4" w:space="0"/>
            </w:tcBorders>
            <w:noWrap/>
            <w:vAlign w:val="center"/>
          </w:tcPr>
          <w:p w14:paraId="54E66493">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7E0E7D49">
            <w:pPr>
              <w:widowControl/>
              <w:jc w:val="center"/>
              <w:rPr>
                <w:rFonts w:eastAsia="仿宋_GB2312"/>
                <w:b/>
                <w:bCs/>
                <w:kern w:val="0"/>
                <w:sz w:val="24"/>
              </w:rPr>
            </w:pPr>
            <w:r>
              <w:rPr>
                <w:rFonts w:eastAsia="仿宋_GB2312"/>
                <w:b/>
                <w:bCs/>
                <w:kern w:val="0"/>
                <w:sz w:val="24"/>
              </w:rPr>
              <w:t>电话</w:t>
            </w:r>
          </w:p>
        </w:tc>
        <w:tc>
          <w:tcPr>
            <w:tcW w:w="1248" w:type="pct"/>
            <w:tcBorders>
              <w:top w:val="nil"/>
              <w:left w:val="nil"/>
              <w:bottom w:val="nil"/>
              <w:right w:val="single" w:color="auto" w:sz="8" w:space="0"/>
            </w:tcBorders>
            <w:noWrap/>
            <w:vAlign w:val="center"/>
          </w:tcPr>
          <w:p w14:paraId="19772EB4">
            <w:pPr>
              <w:widowControl/>
              <w:jc w:val="center"/>
              <w:rPr>
                <w:rFonts w:eastAsia="仿宋_GB2312"/>
                <w:kern w:val="0"/>
                <w:sz w:val="24"/>
              </w:rPr>
            </w:pPr>
            <w:r>
              <w:rPr>
                <w:rFonts w:eastAsia="仿宋_GB2312"/>
                <w:kern w:val="0"/>
                <w:sz w:val="24"/>
              </w:rPr>
              <w:t>　</w:t>
            </w:r>
          </w:p>
        </w:tc>
      </w:tr>
      <w:tr w14:paraId="6275F289">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43AF154B">
            <w:pPr>
              <w:widowControl/>
              <w:jc w:val="left"/>
              <w:rPr>
                <w:rFonts w:eastAsia="仿宋_GB2312"/>
                <w:b/>
                <w:bCs/>
                <w:kern w:val="0"/>
                <w:sz w:val="24"/>
              </w:rPr>
            </w:pPr>
            <w:r>
              <w:rPr>
                <w:rFonts w:eastAsia="仿宋_GB2312"/>
                <w:b/>
                <w:bCs/>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28C79E92">
            <w:pPr>
              <w:widowControl/>
              <w:jc w:val="left"/>
              <w:rPr>
                <w:rFonts w:eastAsia="仿宋_GB2312"/>
                <w:b/>
                <w:bCs/>
                <w:kern w:val="0"/>
                <w:sz w:val="24"/>
              </w:rPr>
            </w:pPr>
            <w:r>
              <w:rPr>
                <w:rFonts w:eastAsia="仿宋_GB2312"/>
                <w:b/>
                <w:bCs/>
                <w:kern w:val="0"/>
                <w:sz w:val="24"/>
              </w:rPr>
              <w:t xml:space="preserve">   使用单位验收意见：（盖章）</w:t>
            </w:r>
          </w:p>
          <w:p w14:paraId="6DBC0F1E">
            <w:pPr>
              <w:rPr>
                <w:rFonts w:eastAsia="仿宋_GB2312"/>
                <w:sz w:val="24"/>
              </w:rPr>
            </w:pPr>
          </w:p>
        </w:tc>
      </w:tr>
      <w:tr w14:paraId="61E9F311">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111F727">
            <w:pPr>
              <w:widowControl/>
              <w:jc w:val="center"/>
              <w:rPr>
                <w:rFonts w:eastAsia="仿宋_GB2312"/>
                <w:b/>
                <w:bCs/>
                <w:kern w:val="0"/>
                <w:sz w:val="24"/>
              </w:rPr>
            </w:pPr>
            <w:r>
              <w:rPr>
                <w:rFonts w:eastAsia="仿宋_GB2312"/>
                <w:b/>
                <w:bCs/>
                <w:kern w:val="0"/>
                <w:sz w:val="24"/>
              </w:rPr>
              <w:t xml:space="preserve"> 签字：</w:t>
            </w:r>
          </w:p>
        </w:tc>
        <w:tc>
          <w:tcPr>
            <w:tcW w:w="1349" w:type="pct"/>
            <w:tcBorders>
              <w:top w:val="nil"/>
              <w:left w:val="nil"/>
              <w:bottom w:val="nil"/>
              <w:right w:val="nil"/>
            </w:tcBorders>
            <w:noWrap/>
            <w:vAlign w:val="center"/>
          </w:tcPr>
          <w:p w14:paraId="1FD3E7D9">
            <w:pPr>
              <w:widowControl/>
              <w:jc w:val="center"/>
              <w:rPr>
                <w:rFonts w:eastAsia="仿宋_GB2312"/>
                <w:b/>
                <w:bCs/>
                <w:kern w:val="0"/>
                <w:sz w:val="24"/>
              </w:rPr>
            </w:pPr>
          </w:p>
        </w:tc>
        <w:tc>
          <w:tcPr>
            <w:tcW w:w="1481" w:type="pct"/>
            <w:tcBorders>
              <w:top w:val="nil"/>
              <w:left w:val="single" w:color="auto" w:sz="4" w:space="0"/>
              <w:bottom w:val="nil"/>
              <w:right w:val="nil"/>
            </w:tcBorders>
            <w:noWrap/>
            <w:vAlign w:val="center"/>
          </w:tcPr>
          <w:p w14:paraId="2EB41D91">
            <w:pPr>
              <w:widowControl/>
              <w:jc w:val="center"/>
              <w:rPr>
                <w:rFonts w:eastAsia="仿宋_GB2312"/>
                <w:b/>
                <w:bCs/>
                <w:kern w:val="0"/>
                <w:sz w:val="24"/>
              </w:rPr>
            </w:pPr>
            <w:r>
              <w:rPr>
                <w:rFonts w:eastAsia="仿宋_GB2312"/>
                <w:b/>
                <w:bCs/>
                <w:kern w:val="0"/>
                <w:sz w:val="24"/>
              </w:rPr>
              <w:t>签字：</w:t>
            </w:r>
          </w:p>
        </w:tc>
        <w:tc>
          <w:tcPr>
            <w:tcW w:w="1248" w:type="pct"/>
            <w:tcBorders>
              <w:top w:val="nil"/>
              <w:left w:val="nil"/>
              <w:bottom w:val="nil"/>
              <w:right w:val="single" w:color="auto" w:sz="8" w:space="0"/>
            </w:tcBorders>
          </w:tcPr>
          <w:p w14:paraId="40FD4FC0">
            <w:pPr>
              <w:widowControl/>
              <w:jc w:val="left"/>
              <w:rPr>
                <w:rFonts w:eastAsia="仿宋_GB2312"/>
                <w:b/>
                <w:bCs/>
                <w:kern w:val="0"/>
                <w:sz w:val="24"/>
              </w:rPr>
            </w:pPr>
            <w:r>
              <w:rPr>
                <w:rFonts w:eastAsia="仿宋_GB2312"/>
                <w:b/>
                <w:bCs/>
                <w:kern w:val="0"/>
                <w:sz w:val="24"/>
              </w:rPr>
              <w:t>　</w:t>
            </w:r>
          </w:p>
        </w:tc>
      </w:tr>
      <w:tr w14:paraId="6966CED0">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B61ECD8">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vAlign w:val="bottom"/>
          </w:tcPr>
          <w:p w14:paraId="77A25686">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3ED84680">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vAlign w:val="bottom"/>
          </w:tcPr>
          <w:p w14:paraId="7E23EB82">
            <w:pPr>
              <w:widowControl/>
              <w:jc w:val="right"/>
              <w:rPr>
                <w:rFonts w:eastAsia="仿宋_GB2312"/>
                <w:kern w:val="0"/>
                <w:sz w:val="22"/>
                <w:szCs w:val="22"/>
              </w:rPr>
            </w:pPr>
            <w:r>
              <w:rPr>
                <w:rFonts w:eastAsia="仿宋_GB2312"/>
                <w:kern w:val="0"/>
                <w:sz w:val="22"/>
                <w:szCs w:val="22"/>
              </w:rPr>
              <w:t>年   月   日</w:t>
            </w:r>
          </w:p>
        </w:tc>
      </w:tr>
      <w:tr w14:paraId="5B3E8AD2">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08D79D9C">
            <w:pPr>
              <w:widowControl/>
              <w:jc w:val="center"/>
              <w:rPr>
                <w:rFonts w:eastAsia="仿宋_GB2312"/>
                <w:b/>
                <w:bCs/>
                <w:kern w:val="0"/>
                <w:sz w:val="22"/>
                <w:szCs w:val="22"/>
              </w:rPr>
            </w:pPr>
            <w:r>
              <w:rPr>
                <w:rFonts w:eastAsia="仿宋_GB2312"/>
                <w:b/>
                <w:bCs/>
                <w:kern w:val="0"/>
                <w:sz w:val="22"/>
                <w:szCs w:val="22"/>
              </w:rPr>
              <w:t>采购内容</w:t>
            </w:r>
          </w:p>
        </w:tc>
      </w:tr>
      <w:tr w14:paraId="397E9B62">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559E4C8B">
            <w:pPr>
              <w:widowControl/>
              <w:jc w:val="center"/>
              <w:rPr>
                <w:rFonts w:eastAsia="仿宋_GB2312"/>
                <w:b/>
                <w:bCs/>
                <w:kern w:val="0"/>
                <w:sz w:val="28"/>
                <w:szCs w:val="28"/>
              </w:rPr>
            </w:pPr>
            <w:r>
              <w:rPr>
                <w:rFonts w:eastAsia="仿宋_GB2312"/>
                <w:b/>
                <w:bCs/>
                <w:kern w:val="0"/>
                <w:sz w:val="28"/>
                <w:szCs w:val="28"/>
              </w:rPr>
              <w:t>采购内容请列明品目、规格、型号、数量、单价、总价</w:t>
            </w:r>
          </w:p>
        </w:tc>
      </w:tr>
    </w:tbl>
    <w:p w14:paraId="620C46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A5035A"/>
    <w:rsid w:val="40DA0D7C"/>
    <w:rsid w:val="486A0C38"/>
    <w:rsid w:val="6D36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2026-08-03T11:13:51Z</dcterms:created>
  <dc:creator>Administrator</dc:creator>
  <cp:lastModifiedBy>赵锦天</cp:lastModifiedBy>
  <dcterms:modified xsi:type="dcterms:W3CDTF">2026-08-03T11:15:41Z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eyJoZGlkIjoiMDNmMDQ2YTU0OGNhNDE5YzU1ODBlZWYxZmI0N2JlNjYiLCJ1c2VySWQiOiIxMTcyNDcyOSJ9</vt:lpwstr>
  </property>
  <property fmtid="{D5CDD505-2E9C-101B-9397-08002B2CF9AE}" pid="4" name="ICV">
    <vt:lpwstr>8D75FDE406E24CA08AA74A3D44464C5B_12</vt:lpwstr>
  </property>
</Properties>
</file>