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版本号：ATJT-202604220260523001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留坝中学电路提升改造项目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ATJT-2026042</w:t>
      </w:r>
      <w:r>
        <w:br/>
      </w:r>
      <w:r>
        <w:br/>
      </w:r>
      <w:r>
        <w:br/>
      </w:r>
    </w:p>
    <w:p>
      <w:pPr>
        <w:pStyle w:val="null3"/>
        <w:jc w:val="center"/>
        <w:outlineLvl w:val="2"/>
      </w:pPr>
      <w:r>
        <w:rPr>
          <w:rFonts w:ascii="仿宋_GB2312" w:hAnsi="仿宋_GB2312" w:cs="仿宋_GB2312" w:eastAsia="仿宋_GB2312"/>
          <w:sz w:val="28"/>
          <w:b/>
        </w:rPr>
        <w:t>留坝县中学</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留坝县中学</w:t>
      </w:r>
      <w:r>
        <w:rPr>
          <w:rFonts w:ascii="仿宋_GB2312" w:hAnsi="仿宋_GB2312" w:cs="仿宋_GB2312" w:eastAsia="仿宋_GB2312"/>
        </w:rPr>
        <w:t>委托，拟对</w:t>
      </w:r>
      <w:r>
        <w:rPr>
          <w:rFonts w:ascii="仿宋_GB2312" w:hAnsi="仿宋_GB2312" w:cs="仿宋_GB2312" w:eastAsia="仿宋_GB2312"/>
        </w:rPr>
        <w:t>留坝中学电路提升改造项目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ATJT-2026042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留坝中学电路提升改造项目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①以建筑楼栋为单元规划供电线路，采用放射式配电方式，由中心配电房向校内各楼栋分别敷设独立电缆；②对中心配电房、各楼栋主配电室实施标准化改造。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采购包1（提升改造）：属于专门面向中小企业采购。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需提供《汉中市政府采购供应商资格承诺函》。</w:t>
      </w:r>
    </w:p>
    <w:p>
      <w:pPr>
        <w:pStyle w:val="null3"/>
      </w:pPr>
      <w:r>
        <w:rPr>
          <w:rFonts w:ascii="仿宋_GB2312" w:hAnsi="仿宋_GB2312" w:cs="仿宋_GB2312" w:eastAsia="仿宋_GB2312"/>
        </w:rPr>
        <w:t>3、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4、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留坝县紫柏路199号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0916-3921984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朱丹、郑艳荣、焦丽</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代理服务费收费标准：1、按合同约定执行。 2、采购代理服务费的缴纳方式：在领取《成交通知书》时向采购代理机构一次性全额缴纳采购代理服务费。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留坝县中学</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留坝县中学</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联系人：朱丹、郑艳荣、焦丽</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730,000.00</w:t>
      </w:r>
    </w:p>
    <w:p>
      <w:pPr>
        <w:pStyle w:val="null3"/>
      </w:pPr>
      <w:r>
        <w:rPr>
          <w:rFonts w:ascii="仿宋_GB2312" w:hAnsi="仿宋_GB2312" w:cs="仿宋_GB2312" w:eastAsia="仿宋_GB2312"/>
        </w:rPr>
        <w:t>采购包最高限价（元）: 730,000.00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提升改造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730,000.00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标的名称：提升改造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具体详见工程量清单。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建筑工程施工质量验收规范合格标准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采用转账支票或银行电汇形式提交的投标保证金必须从其基本账户转出。2、采用保函形式提交投标保证金的，应在换取保函收据时，将保函加盖单位公章递交给代理公司。注:1、投标供应商在缴纳保证金时应注明项目名称2、须携带转账凭证或携带保函原件于投标截止时间前换取保证金或保函收据。为避免因保证金未到账或延迟到账，建议至少投标截止时间前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需提供《汉中市政府采购供应商资格承诺函》。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拟派项目经理具备建筑工程二级（含二级）以上注册建造师资格，并具有相关主管部门颁发的B类安全生产考核合格证书，且未担任其他在建工程的项目经理，无不良记录。</w:t>
            </w:r>
          </w:p>
        </w:tc>
        <w:tc>
          <w:tcPr>
            <w:tcW w:type="dxa" w:w="1661"/>
          </w:tcPr>
          <w:p>
            <w:pPr>
              <w:pStyle w:val="null3"/>
            </w:pPr>
            <w:r>
              <w:rPr>
                <w:rFonts w:ascii="仿宋_GB2312" w:hAnsi="仿宋_GB2312" w:cs="仿宋_GB2312" w:eastAsia="仿宋_GB2312"/>
              </w:rPr>
              <w:t>供应商应提交的相关资格证明材料.docx 项目管理机构组成表 主要人员简历表 供应商认为需要说明的其他内容.docx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应按照竞争性磋商文件要求签署、盖章</w:t>
            </w:r>
          </w:p>
        </w:tc>
        <w:tc>
          <w:tcPr>
            <w:tcW w:type="dxa" w:w="1661"/>
          </w:tcPr>
          <w:p>
            <w:pPr>
              <w:pStyle w:val="null3"/>
            </w:pPr>
            <w:r>
              <w:rPr>
                <w:rFonts w:ascii="仿宋_GB2312" w:hAnsi="仿宋_GB2312" w:cs="仿宋_GB2312" w:eastAsia="仿宋_GB2312"/>
              </w:rPr>
              <w:t>响应文件封面 报价函 技术服务合同条款及其他商务要求应答表 标的清单 响应函 强制优先采购产品承诺函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施工进度计划.docx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资源配置计划.docx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安全施工措施.docx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文明施工措施.docx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项目经理部组织机构.docx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保修方案.docx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供应商认为需要说明的其他内容.docx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2、以满足本次竞争性磋商文件要求的最低报价为评审基准价，其价格为满分； 3、不享有政策优惠条件的投标供应商报价得分=（评审基准价/报价）×30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详见附件：安全施工措施.docx</w:t>
      </w:r>
    </w:p>
    <w:p>
      <w:pPr>
        <w:pStyle w:val="null3"/>
        <w:ind w:firstLine="960"/>
      </w:pPr>
      <w:r>
        <w:rPr>
          <w:rFonts w:ascii="仿宋_GB2312" w:hAnsi="仿宋_GB2312" w:cs="仿宋_GB2312" w:eastAsia="仿宋_GB2312"/>
        </w:rPr>
        <w:t>详见附件：保修方案.docx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详见附件：施工进度计划.docx</w:t>
      </w:r>
    </w:p>
    <w:p>
      <w:pPr>
        <w:pStyle w:val="null3"/>
        <w:ind w:firstLine="960"/>
      </w:pPr>
      <w:r>
        <w:rPr>
          <w:rFonts w:ascii="仿宋_GB2312" w:hAnsi="仿宋_GB2312" w:cs="仿宋_GB2312" w:eastAsia="仿宋_GB2312"/>
        </w:rPr>
        <w:t>详见附件：文明施工措施.docx</w:t>
      </w:r>
    </w:p>
    <w:p>
      <w:pPr>
        <w:pStyle w:val="null3"/>
        <w:ind w:firstLine="960"/>
      </w:pPr>
      <w:r>
        <w:rPr>
          <w:rFonts w:ascii="仿宋_GB2312" w:hAnsi="仿宋_GB2312" w:cs="仿宋_GB2312" w:eastAsia="仿宋_GB2312"/>
        </w:rPr>
        <w:t>详见附件：项目经理部组织机构.docx</w:t>
      </w:r>
    </w:p>
    <w:p>
      <w:pPr>
        <w:pStyle w:val="null3"/>
        <w:ind w:firstLine="960"/>
      </w:pPr>
      <w:r>
        <w:rPr>
          <w:rFonts w:ascii="仿宋_GB2312" w:hAnsi="仿宋_GB2312" w:cs="仿宋_GB2312" w:eastAsia="仿宋_GB2312"/>
        </w:rPr>
        <w:t>详见附件：项目施工方案.docx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详见附件：资源配置计划.docx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