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版本号：HCXMB-ZB-26-01320260612001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艺术教育中心学科教室维修项目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HCXMB-ZB-26-013</w:t>
      </w:r>
      <w:r>
        <w:br/>
      </w:r>
      <w:r>
        <w:br/>
      </w:r>
      <w:r>
        <w:br/>
      </w:r>
    </w:p>
    <w:p>
      <w:pPr>
        <w:pStyle w:val="null3"/>
        <w:jc w:val="center"/>
        <w:outlineLvl w:val="2"/>
      </w:pPr>
      <w:r>
        <w:rPr>
          <w:rFonts w:ascii="仿宋_GB2312" w:hAnsi="仿宋_GB2312" w:cs="仿宋_GB2312" w:eastAsia="仿宋_GB2312"/>
          <w:sz w:val="28"/>
          <w:b/>
        </w:rPr>
        <w:t>西安市育才中学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西安市育才中学</w:t>
      </w:r>
      <w:r>
        <w:rPr>
          <w:rFonts w:ascii="仿宋_GB2312" w:hAnsi="仿宋_GB2312" w:cs="仿宋_GB2312" w:eastAsia="仿宋_GB2312"/>
        </w:rPr>
        <w:t>委托，拟对</w:t>
      </w:r>
      <w:r>
        <w:rPr>
          <w:rFonts w:ascii="仿宋_GB2312" w:hAnsi="仿宋_GB2312" w:cs="仿宋_GB2312" w:eastAsia="仿宋_GB2312"/>
        </w:rPr>
        <w:t>艺术教育中心学科教室维修项目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HCXMB-ZB-26-013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艺术教育中心学科教室维修项目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西安市育才中学艺术教育中心学科教室维修项目，包含工程量清单中的所有内容。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采购包1（艺术教育中心学科教室维修项目）：属于专门面向小微企业采购。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财务状况报告：供应商提供2024年度或2025年度经审计的财务审计报告(事业法人可提供部门决算报告)；或提供供应商基本账户出具的资信证明:或提供政府采购专业担保机构出具的投标担保函，供应商需在项目电子化交易系统中按要求上传相应证明文件；</w:t>
      </w:r>
    </w:p>
    <w:p>
      <w:pPr>
        <w:pStyle w:val="null3"/>
      </w:pPr>
      <w:r>
        <w:rPr>
          <w:rFonts w:ascii="仿宋_GB2312" w:hAnsi="仿宋_GB2312" w:cs="仿宋_GB2312" w:eastAsia="仿宋_GB2312"/>
        </w:rPr>
        <w:t>3、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7、企业资质：供应商须具备建设行政主管部门颁发的建筑工程施工总承包三级及以上资质，且具备有效的安全生产许可证，并在人员、设备、资金等方面具备相应施工能力且无不良记录；</w:t>
      </w:r>
    </w:p>
    <w:p>
      <w:pPr>
        <w:pStyle w:val="null3"/>
      </w:pPr>
      <w:r>
        <w:rPr>
          <w:rFonts w:ascii="仿宋_GB2312" w:hAnsi="仿宋_GB2312" w:cs="仿宋_GB2312" w:eastAsia="仿宋_GB2312"/>
        </w:rPr>
        <w:t>8、项目负责人：拟派项目经理须具备合法有效的建筑工程专业二级及以上注册建造师执业资格，同时具备有效的安全生产考核合格证书(安全B证)，且无在建工程。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西安市育才中学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西安市小寨兴善寺东街115号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西安市育才中学经办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15929992556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吴振峰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13572459333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代理服务费收费标准：成交单位在领取成交通知书前，须向采购代理机构支付采购代理服务费 ，采购代理服务费以成交金额为基数，参照国家计委颁布《招标代理服务收费管理暂行办法》（计价格[2002]1980号） 开户名称：华春建设工程项目管理有限责任公司 开户行：中国银行西安南二环支行 账号：102807336850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西安市育才中学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西安市育才中学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西安市育才中学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联系人：吴振锋</w:t>
      </w:r>
    </w:p>
    <w:p>
      <w:pPr>
        <w:pStyle w:val="null3"/>
      </w:pPr>
      <w:r>
        <w:rPr>
          <w:rFonts w:ascii="仿宋_GB2312" w:hAnsi="仿宋_GB2312" w:cs="仿宋_GB2312" w:eastAsia="仿宋_GB2312"/>
        </w:rPr>
        <w:t>联系电话：13572459333</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1,174,479.46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艺术教育中学学科教室改造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标的名称：艺术教育中学学科教室改造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一、工程概况：</w:t>
            </w:r>
          </w:p>
          <w:p>
            <w:pPr>
              <w:pStyle w:val="null3"/>
              <w:jc w:val="left"/>
            </w:pPr>
            <w:r>
              <w:rPr>
                <w:rFonts w:ascii="仿宋_GB2312" w:hAnsi="仿宋_GB2312" w:cs="仿宋_GB2312" w:eastAsia="仿宋_GB2312"/>
                <w:sz w:val="21"/>
                <w:color w:val="000000"/>
              </w:rPr>
              <w:t>1、艺术教育中心教室维修采购数量:1项:主要功能或目标:艺术教育中心教室包含舞 蹈教室1间、合唱教室1间、管乐排练室2间、乐器储藏室1间、舞蹈训练更衣室1间、 办公室2间及楼层过道。总维修建筑面积约600m。需满足的要求:因楼宇建成后18年没有进行维修，教育教学环境急需改善。现进行全面维修，完善艺术教育硬件设施，提升教育教学环境。</w:t>
            </w:r>
          </w:p>
          <w:p>
            <w:pPr>
              <w:pStyle w:val="null3"/>
              <w:jc w:val="left"/>
            </w:pPr>
            <w:r>
              <w:rPr>
                <w:rFonts w:ascii="仿宋_GB2312" w:hAnsi="仿宋_GB2312" w:cs="仿宋_GB2312" w:eastAsia="仿宋_GB2312"/>
                <w:sz w:val="21"/>
                <w:color w:val="000000"/>
              </w:rPr>
              <w:t>二、编制范围：</w:t>
            </w:r>
          </w:p>
          <w:p>
            <w:pPr>
              <w:pStyle w:val="null3"/>
              <w:jc w:val="left"/>
            </w:pPr>
            <w:r>
              <w:rPr>
                <w:rFonts w:ascii="仿宋_GB2312" w:hAnsi="仿宋_GB2312" w:cs="仿宋_GB2312" w:eastAsia="仿宋_GB2312"/>
                <w:sz w:val="21"/>
                <w:color w:val="000000"/>
              </w:rPr>
              <w:t>1、西安市育才中学艺术教育中心科教室维修项目工程量清单中的所有内容。</w:t>
            </w:r>
          </w:p>
          <w:p>
            <w:pPr>
              <w:pStyle w:val="null3"/>
              <w:jc w:val="left"/>
            </w:pPr>
            <w:r>
              <w:rPr>
                <w:rFonts w:ascii="仿宋_GB2312" w:hAnsi="仿宋_GB2312" w:cs="仿宋_GB2312" w:eastAsia="仿宋_GB2312"/>
                <w:sz w:val="21"/>
                <w:color w:val="000000"/>
              </w:rPr>
              <w:t>三、编制依据：</w:t>
            </w:r>
          </w:p>
          <w:p>
            <w:pPr>
              <w:pStyle w:val="null3"/>
              <w:jc w:val="left"/>
            </w:pPr>
            <w:r>
              <w:rPr>
                <w:rFonts w:ascii="仿宋_GB2312" w:hAnsi="仿宋_GB2312" w:cs="仿宋_GB2312" w:eastAsia="仿宋_GB2312"/>
                <w:sz w:val="21"/>
                <w:color w:val="000000"/>
              </w:rPr>
              <w:t>1、《陕西省建设工程工程量清单计价标准（2025）》、《陕西省房屋建筑与装饰工 程工程量计算标准》、《陕西省通安装程程量计算标准》、《陕西省房屋建筑与装饰 工程消耗量定额（2025）》、《陕西省通工安装工程消耗量定额（2025）》、《陕西 省市政工程消耗量定额（2025）》、《陕西省房屋建筑与装饰工程基价表（2025 ） 》、《陕西省通工安装工程基价表（2025）》《陕西省市政工程基价表（2025）》、 《陕西省建设工程费用规则（2025）》、《陕西省建设工程施工机械台班费用定额（ 2025）》及《陕西省建设工程施工仪器仪表台班费用定额（2025）》；</w:t>
            </w:r>
          </w:p>
          <w:p>
            <w:pPr>
              <w:pStyle w:val="null3"/>
              <w:jc w:val="left"/>
            </w:pPr>
            <w:r>
              <w:rPr>
                <w:rFonts w:ascii="仿宋_GB2312" w:hAnsi="仿宋_GB2312" w:cs="仿宋_GB2312" w:eastAsia="仿宋_GB2312"/>
                <w:sz w:val="21"/>
                <w:color w:val="000000"/>
              </w:rPr>
              <w:t>2、正常施工组织设计及施工方法；</w:t>
            </w:r>
          </w:p>
          <w:p>
            <w:pPr>
              <w:pStyle w:val="null3"/>
              <w:jc w:val="left"/>
            </w:pPr>
            <w:r>
              <w:rPr>
                <w:rFonts w:ascii="仿宋_GB2312" w:hAnsi="仿宋_GB2312" w:cs="仿宋_GB2312" w:eastAsia="仿宋_GB2312"/>
                <w:sz w:val="21"/>
                <w:color w:val="000000"/>
              </w:rPr>
              <w:t>3、施工图中采用的相关标准图集、施工规范及验收规范；</w:t>
            </w:r>
          </w:p>
          <w:p>
            <w:pPr>
              <w:pStyle w:val="null3"/>
              <w:jc w:val="left"/>
            </w:pPr>
            <w:r>
              <w:rPr>
                <w:rFonts w:ascii="仿宋_GB2312" w:hAnsi="仿宋_GB2312" w:cs="仿宋_GB2312" w:eastAsia="仿宋_GB2312"/>
                <w:sz w:val="21"/>
                <w:color w:val="000000"/>
              </w:rPr>
              <w:t>4、材料设备推荐品牌及技术要求；</w:t>
            </w:r>
          </w:p>
          <w:p>
            <w:pPr>
              <w:pStyle w:val="null3"/>
              <w:jc w:val="left"/>
            </w:pPr>
            <w:r>
              <w:rPr>
                <w:rFonts w:ascii="仿宋_GB2312" w:hAnsi="仿宋_GB2312" w:cs="仿宋_GB2312" w:eastAsia="仿宋_GB2312"/>
                <w:sz w:val="21"/>
                <w:color w:val="000000"/>
              </w:rPr>
              <w:t>5、材料价格依据陕西最近期信息价及部分市场价计取；</w:t>
            </w:r>
          </w:p>
          <w:p>
            <w:pPr>
              <w:pStyle w:val="null3"/>
              <w:jc w:val="left"/>
            </w:pPr>
            <w:r>
              <w:rPr>
                <w:rFonts w:ascii="仿宋_GB2312" w:hAnsi="仿宋_GB2312" w:cs="仿宋_GB2312" w:eastAsia="仿宋_GB2312"/>
                <w:sz w:val="21"/>
                <w:color w:val="000000"/>
              </w:rPr>
              <w:t>6、本工程量清单编制采用广联达云计价平台 GCCP7.0（版本号： 7.5000.23.3）。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或提供供应商基本账户出具的资信证明:或提供政府采购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供应商须具备建设行政主管部门颁发的建筑工程施工总承包三级及以上资质，且具备有效的安全生产许可证，并在人员、设备、资金等方面具备相应施工能力且无不良记录；</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拟派项目经理须具备合法有效的建筑工程专业二级及以上注册建造师执业资格，同时具备有效的安全生产考核合格证书(安全B证)，且无在建工程。</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商务和技术响应.docx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响应文件封面 商务和技术响应.docx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响应文件封面 商务和技术响应.docx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响应文件封面 已标价工程量清单 商务和技术响应.docx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相关资格证明资料.docx 已标价工程量清单 商务和技术响应.docx 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相关资格证明资料.docx 响应文件封面 已标价工程量清单 商务和技术响应.docx 授权委托书.docx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总体施⼯组织布置及规划</w:t>
            </w:r>
          </w:p>
        </w:tc>
        <w:tc>
          <w:tcPr>
            <w:tcW w:type="dxa" w:w="2492"/>
          </w:tcPr>
          <w:p>
            <w:pPr>
              <w:pStyle w:val="null3"/>
            </w:pPr>
            <w:r>
              <w:rPr>
                <w:rFonts w:ascii="仿宋_GB2312" w:hAnsi="仿宋_GB2312" w:cs="仿宋_GB2312" w:eastAsia="仿宋_GB2312"/>
              </w:rPr>
              <w:t>针对本项⽬提供科学、可⾏、合理的总体施⼯组织布置及规划，满⾜采购⼈需求。 1.总体施⼯组织布置及规划内容详尽，全⾯、具体、可⾏、科学合理，得10分；2.总体施⼯组织布置及规划内容较详尽，⽐较全⾯、可⾏，得8分；3.总体施⼯组织布置及规划没有明显缺漏 ，相对全⾯，得6分；4.总体施⼯组织布置及规划基本全⾯，有⼀定合理性，得4分；5.总体施⼯组织布置及规划简单，合理性差的得2分；6.不满⾜项⽬要求或未提供不计分。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施⼯组织⽅案</w:t>
            </w:r>
          </w:p>
        </w:tc>
        <w:tc>
          <w:tcPr>
            <w:tcW w:type="dxa" w:w="2492"/>
          </w:tcPr>
          <w:p>
            <w:pPr>
              <w:pStyle w:val="null3"/>
            </w:pPr>
            <w:r>
              <w:rPr>
                <w:rFonts w:ascii="仿宋_GB2312" w:hAnsi="仿宋_GB2312" w:cs="仿宋_GB2312" w:eastAsia="仿宋_GB2312"/>
              </w:rPr>
              <w:t>针对本项⽬提供科学、可⾏、合理的施⼯⽅案、⽅法与技术措施，满⾜采购⼈需求。 1.施⼯⽅案、⽅法与技术措施全⾯、具体、可⾏、科学合理，得6分；2.施⼯⽅案、⽅法与技术措施⽐较全⾯、具体、可⾏，得3分；3.施⼯⽅案、⽅法与技术措施简单，有⼀定的合理性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针对本项⽬提供的项⽬质量保证体系及措施科学、合理、可⾏，满⾜采购⼈需求。 1.质量保证体系及措施科学、合理、可⾏得6分；2.质量保证体系及措施内容较完善，有⼀定的科学性、可⾏性得3分；3.质量保证体系及措施内容简单，可⾏性差得1分；4.不满⾜项⽬要求或未提供不计分。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针对本项⽬提供的项⽬安全保证措施科学、合理、可⾏，满⾜采购⼈需求。 1.安全保证措施科学、合理、可⾏得6分；2.安全保证措施内容较完善，有⼀定的科学性、可⾏性得3分；3.安全保证措施内容简单，可⾏性差得1分；4.不满⾜项⽬要求或未提供不计分。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项⽬进度计划和⼯期⽬标</w:t>
            </w:r>
          </w:p>
        </w:tc>
        <w:tc>
          <w:tcPr>
            <w:tcW w:type="dxa" w:w="2492"/>
          </w:tcPr>
          <w:p>
            <w:pPr>
              <w:pStyle w:val="null3"/>
            </w:pPr>
            <w:r>
              <w:rPr>
                <w:rFonts w:ascii="仿宋_GB2312" w:hAnsi="仿宋_GB2312" w:cs="仿宋_GB2312" w:eastAsia="仿宋_GB2312"/>
              </w:rPr>
              <w:t>针对本项⽬提供的项⽬进度计划和⼯期⽬标，项⽬进度计划和⼯期⽬标科学、合理、可⾏，满⾜采购⼈需求。 1.项⽬进度计划和⼯期⽬标科学、合理、可⾏得6分；2.项⽬进度计划和⼯期安排内容较完善，有⼀定的科学性、可⾏性得3分；3.项⽬进度计划和⼯期内容简单，可⾏性差得1分；4.不满⾜项⽬要求或未提供不计分。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项⽬⻛险预测与防范、事故应急预案</w:t>
            </w:r>
          </w:p>
        </w:tc>
        <w:tc>
          <w:tcPr>
            <w:tcW w:type="dxa" w:w="2492"/>
          </w:tcPr>
          <w:p>
            <w:pPr>
              <w:pStyle w:val="null3"/>
            </w:pPr>
            <w:r>
              <w:rPr>
                <w:rFonts w:ascii="仿宋_GB2312" w:hAnsi="仿宋_GB2312" w:cs="仿宋_GB2312" w:eastAsia="仿宋_GB2312"/>
              </w:rPr>
              <w:t>项⽬⻛险预测与防范，事故应急预案。1.项⽬⻛险预测与防范，事故应急预案科学、合理、可⾏得6分；2.项⽬⻛险预测与防范，事故应急预案内容较完善，有⼀定的科学性、可⾏性得3分；3.项⽬⻛险预测与防范，事故应急预案内容简单，可⾏性差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⼈员配备</w:t>
            </w:r>
          </w:p>
        </w:tc>
        <w:tc>
          <w:tcPr>
            <w:tcW w:type="dxa" w:w="2492"/>
          </w:tcPr>
          <w:p>
            <w:pPr>
              <w:pStyle w:val="null3"/>
            </w:pPr>
            <w:r>
              <w:rPr>
                <w:rFonts w:ascii="仿宋_GB2312" w:hAnsi="仿宋_GB2312" w:cs="仿宋_GB2312" w:eastAsia="仿宋_GB2312"/>
              </w:rPr>
              <w:t>1.拟投⼊本项⽬⼈员数量充⾜，专业⼈员配置⻬全、针对性强、分⼯明确，能够满⾜采购⼈项⽬需求的得6分；2.⼈员配备数量⼀般，专业⼈员配备能够基本满⾜项⽬实施需要，分⼯有⼀定的合理性，基本能满⾜项⽬需求的得3分；3.⼈员配备数量较少，专业⼈员配备不⻬全的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拟投⼊本项⽬主要机具设备</w:t>
            </w:r>
          </w:p>
        </w:tc>
        <w:tc>
          <w:tcPr>
            <w:tcW w:type="dxa" w:w="2492"/>
          </w:tcPr>
          <w:p>
            <w:pPr>
              <w:pStyle w:val="null3"/>
            </w:pPr>
            <w:r>
              <w:rPr>
                <w:rFonts w:ascii="仿宋_GB2312" w:hAnsi="仿宋_GB2312" w:cs="仿宋_GB2312" w:eastAsia="仿宋_GB2312"/>
              </w:rPr>
              <w:t>拟投⼊本项⽬主要机具、设备和劳动⼒配置情况，磋商⼩组可根据拟投⼊本项⽬设备情况⾃主打分。 1.拟投⼊的主要机具、设备和劳动⼒充分、能满⾜项⽬需要得6分；2.拟投⼊的主要机具、设备和劳动⼒较充分、基本满⾜项⽬需要得3分；3.拟投⼊的主要机具、设备和劳动⼒有缺漏、配备不⻬全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1.完整、科学、合理、可⾏得6分；2.质量保修承诺较完整、较科学、较可⾏得3分；3.质量保修承诺简单得1分；4.不满⾜项⽬要求或未提供不计分。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根据采购⼈意⻅及时调整⼈员及服务⽅案的承诺： 1.承诺具体、详细、可⾏得6分；2.承诺较具体、内容较全⾯、较可⾏得3分；3.承诺内容简单、可⾏性较差的得1分；4.不满⾜项⽬要求或未提供不计分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2023年1⽉1⽇以来承接过类似项⽬的合同证明（以合同的签订⽇期为准）（每提供⼀个得2分，满分6分）（合同内容须清晰可辨认，⽆涂改，否则视为⽆效合同）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商务和技术响应.docx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详见附件：相关资格证明资料.docx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