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志丹县林业局2026年陕西省延安北部“三北”工程林草湿荒一体化保护修复项目退化林修复工程项目成交结果公告</w:t>
      </w:r>
    </w:p>
    <w:p>
      <w:pPr>
        <w:pStyle w:val="null3"/>
        <w:outlineLvl w:val="3"/>
      </w:pPr>
      <w:r>
        <w:rPr>
          <w:rFonts w:ascii="仿宋_GB2312" w:hAnsi="仿宋_GB2312" w:cs="仿宋_GB2312" w:eastAsia="仿宋_GB2312"/>
          <w:sz w:val="24"/>
          <w:b/>
        </w:rPr>
        <w:t>一、项目编号：MSXD-2026031</w:t>
      </w:r>
    </w:p>
    <w:p>
      <w:pPr>
        <w:pStyle w:val="null3"/>
        <w:outlineLvl w:val="3"/>
      </w:pPr>
      <w:r>
        <w:rPr>
          <w:rFonts w:ascii="仿宋_GB2312" w:hAnsi="仿宋_GB2312" w:cs="仿宋_GB2312" w:eastAsia="仿宋_GB2312"/>
          <w:sz w:val="24"/>
          <w:b/>
        </w:rPr>
        <w:t>二、项目名称：2026年陕西省延安北部“三北”工程林草湿荒一体化保护修复项目退化林修复工程项目</w:t>
      </w:r>
    </w:p>
    <w:p>
      <w:pPr>
        <w:pStyle w:val="null3"/>
        <w:outlineLvl w:val="3"/>
      </w:pPr>
      <w:r>
        <w:rPr>
          <w:rFonts w:ascii="仿宋_GB2312" w:hAnsi="仿宋_GB2312" w:cs="仿宋_GB2312" w:eastAsia="仿宋_GB2312"/>
          <w:sz w:val="24"/>
          <w:b/>
        </w:rPr>
        <w:t>三、采购结果</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3115"/>
        <w:gridCol w:w="1557"/>
        <w:gridCol w:w="1557"/>
      </w:tblGrid>
      <w:tr>
        <w:tc>
          <w:tcPr>
            <w:tcW w:type="dxa" w:w="2076"/>
          </w:tcPr>
          <w:p>
            <w:pPr>
              <w:pStyle w:val="null3"/>
            </w:pPr>
            <w:r>
              <w:rPr>
                <w:rFonts w:ascii="仿宋_GB2312" w:hAnsi="仿宋_GB2312" w:cs="仿宋_GB2312" w:eastAsia="仿宋_GB2312"/>
              </w:rPr>
              <w:t>供应商名称</w:t>
            </w:r>
          </w:p>
        </w:tc>
        <w:tc>
          <w:tcPr>
            <w:tcW w:type="dxa" w:w="3115"/>
          </w:tcPr>
          <w:p>
            <w:pPr>
              <w:pStyle w:val="null3"/>
            </w:pPr>
            <w:r>
              <w:rPr>
                <w:rFonts w:ascii="仿宋_GB2312" w:hAnsi="仿宋_GB2312" w:cs="仿宋_GB2312" w:eastAsia="仿宋_GB2312"/>
              </w:rPr>
              <w:t>供应商地址</w:t>
            </w:r>
          </w:p>
        </w:tc>
        <w:tc>
          <w:tcPr>
            <w:tcW w:type="dxa" w:w="1557"/>
          </w:tcPr>
          <w:p>
            <w:pPr>
              <w:pStyle w:val="null3"/>
            </w:pPr>
            <w:r>
              <w:rPr>
                <w:rFonts w:ascii="仿宋_GB2312" w:hAnsi="仿宋_GB2312" w:cs="仿宋_GB2312" w:eastAsia="仿宋_GB2312"/>
              </w:rPr>
              <w:t>中标（成交）金额</w:t>
            </w:r>
          </w:p>
        </w:tc>
        <w:tc>
          <w:tcPr>
            <w:tcW w:type="dxa" w:w="1557"/>
          </w:tcPr>
          <w:p>
            <w:pPr>
              <w:pStyle w:val="null3"/>
            </w:pPr>
            <w:r>
              <w:rPr>
                <w:rFonts w:ascii="仿宋_GB2312" w:hAnsi="仿宋_GB2312" w:cs="仿宋_GB2312" w:eastAsia="仿宋_GB2312"/>
              </w:rPr>
              <w:t>评审总得分</w:t>
            </w:r>
          </w:p>
        </w:tc>
      </w:tr>
      <w:tr>
        <w:tc>
          <w:tcPr>
            <w:tcW w:type="dxa" w:w="2076"/>
          </w:tcPr>
          <w:p>
            <w:pPr>
              <w:pStyle w:val="null3"/>
            </w:pPr>
            <w:r>
              <w:rPr>
                <w:rFonts w:ascii="仿宋_GB2312" w:hAnsi="仿宋_GB2312" w:cs="仿宋_GB2312" w:eastAsia="仿宋_GB2312"/>
              </w:rPr>
              <w:t>志丹县春根园林绿化工程有限公司</w:t>
            </w:r>
          </w:p>
        </w:tc>
        <w:tc>
          <w:tcPr>
            <w:tcW w:type="dxa" w:w="3115"/>
          </w:tcPr>
          <w:p>
            <w:pPr>
              <w:pStyle w:val="null3"/>
            </w:pPr>
            <w:r>
              <w:rPr>
                <w:rFonts w:ascii="仿宋_GB2312" w:hAnsi="仿宋_GB2312" w:cs="仿宋_GB2312" w:eastAsia="仿宋_GB2312"/>
              </w:rPr>
              <w:t>志丹县灵幻地台</w:t>
            </w:r>
          </w:p>
        </w:tc>
        <w:tc>
          <w:tcPr>
            <w:tcW w:type="dxa" w:w="1557"/>
          </w:tcPr>
          <w:p>
            <w:pPr>
              <w:pStyle w:val="null3"/>
              <w:jc w:val="right"/>
            </w:pPr>
            <w:r>
              <w:rPr>
                <w:rFonts w:ascii="仿宋_GB2312" w:hAnsi="仿宋_GB2312" w:cs="仿宋_GB2312" w:eastAsia="仿宋_GB2312"/>
              </w:rPr>
              <w:t>3,071,376.00元</w:t>
            </w:r>
          </w:p>
        </w:tc>
        <w:tc>
          <w:tcPr>
            <w:tcW w:type="dxa" w:w="1557"/>
          </w:tcPr>
          <w:p>
            <w:pPr>
              <w:pStyle w:val="null3"/>
            </w:pPr>
            <w:r>
              <w:rPr>
                <w:rFonts w:ascii="仿宋_GB2312" w:hAnsi="仿宋_GB2312" w:cs="仿宋_GB2312" w:eastAsia="仿宋_GB2312"/>
              </w:rPr>
              <w:t>85.97</w:t>
            </w:r>
          </w:p>
        </w:tc>
      </w:tr>
    </w:tbl>
    <w:p>
      <w:pPr>
        <w:pStyle w:val="null3"/>
        <w:outlineLvl w:val="3"/>
      </w:pPr>
      <w:r>
        <w:rPr>
          <w:rFonts w:ascii="仿宋_GB2312" w:hAnsi="仿宋_GB2312" w:cs="仿宋_GB2312" w:eastAsia="仿宋_GB2312"/>
          <w:sz w:val="24"/>
          <w:b/>
        </w:rPr>
        <w:t>四、主要标的信息</w:t>
      </w:r>
    </w:p>
    <w:p>
      <w:pPr>
        <w:pStyle w:val="null3"/>
      </w:pPr>
      <w:r>
        <w:rPr>
          <w:rFonts w:ascii="仿宋_GB2312" w:hAnsi="仿宋_GB2312" w:cs="仿宋_GB2312" w:eastAsia="仿宋_GB2312"/>
        </w:rPr>
        <w:t>合同包1(志丹县林业局2026年陕西省延安北部“三北”工程林草湿荒一体化保护修复项目退化林修复工程项目):</w:t>
      </w:r>
    </w:p>
    <w:p>
      <w:pPr>
        <w:pStyle w:val="null3"/>
      </w:pPr>
      <w:r>
        <w:rPr>
          <w:rFonts w:ascii="仿宋_GB2312" w:hAnsi="仿宋_GB2312" w:cs="仿宋_GB2312" w:eastAsia="仿宋_GB2312"/>
        </w:rPr>
        <w:t>工程类（志丹县春根园林绿化工程有限公司）</w:t>
      </w:r>
    </w:p>
    <w:tbl>
      <w:tblPr>
        <w:tblW w:w="0" w:type="auto"/>
        <w:tblBorders>
          <w:top w:val="single"/>
          <w:left w:val="single"/>
          <w:bottom w:val="single"/>
          <w:right w:val="single"/>
          <w:insideH w:val="single"/>
          <w:insideV w:val="single"/>
        </w:tblBorders>
      </w:tblPr>
      <w:tblGrid>
        <w:gridCol w:w="1008"/>
        <w:gridCol w:w="968"/>
        <w:gridCol w:w="968"/>
        <w:gridCol w:w="1210"/>
        <w:gridCol w:w="968"/>
        <w:gridCol w:w="968"/>
        <w:gridCol w:w="1210"/>
        <w:gridCol w:w="1008"/>
      </w:tblGrid>
      <w:tr>
        <w:tc>
          <w:tcPr>
            <w:tcW w:type="dxa" w:w="1008"/>
          </w:tcPr>
          <w:p>
            <w:pPr>
              <w:pStyle w:val="null3"/>
            </w:pPr>
            <w:r>
              <w:rPr>
                <w:rFonts w:ascii="仿宋_GB2312" w:hAnsi="仿宋_GB2312" w:cs="仿宋_GB2312" w:eastAsia="仿宋_GB2312"/>
              </w:rPr>
              <w:t>品目号</w:t>
            </w:r>
          </w:p>
        </w:tc>
        <w:tc>
          <w:tcPr>
            <w:tcW w:type="dxa" w:w="968"/>
          </w:tcPr>
          <w:p>
            <w:pPr>
              <w:pStyle w:val="null3"/>
            </w:pPr>
            <w:r>
              <w:rPr>
                <w:rFonts w:ascii="仿宋_GB2312" w:hAnsi="仿宋_GB2312" w:cs="仿宋_GB2312" w:eastAsia="仿宋_GB2312"/>
              </w:rPr>
              <w:t>品目名称</w:t>
            </w:r>
          </w:p>
        </w:tc>
        <w:tc>
          <w:tcPr>
            <w:tcW w:type="dxa" w:w="968"/>
          </w:tcPr>
          <w:p>
            <w:pPr>
              <w:pStyle w:val="null3"/>
            </w:pPr>
            <w:r>
              <w:rPr>
                <w:rFonts w:ascii="仿宋_GB2312" w:hAnsi="仿宋_GB2312" w:cs="仿宋_GB2312" w:eastAsia="仿宋_GB2312"/>
              </w:rPr>
              <w:t>采购标的</w:t>
            </w:r>
          </w:p>
        </w:tc>
        <w:tc>
          <w:tcPr>
            <w:tcW w:type="dxa" w:w="1210"/>
          </w:tcPr>
          <w:p>
            <w:pPr>
              <w:pStyle w:val="null3"/>
            </w:pPr>
            <w:r>
              <w:rPr>
                <w:rFonts w:ascii="仿宋_GB2312" w:hAnsi="仿宋_GB2312" w:cs="仿宋_GB2312" w:eastAsia="仿宋_GB2312"/>
              </w:rPr>
              <w:t>施工范围</w:t>
            </w:r>
          </w:p>
        </w:tc>
        <w:tc>
          <w:tcPr>
            <w:tcW w:type="dxa" w:w="968"/>
          </w:tcPr>
          <w:p>
            <w:pPr>
              <w:pStyle w:val="null3"/>
            </w:pPr>
            <w:r>
              <w:rPr>
                <w:rFonts w:ascii="仿宋_GB2312" w:hAnsi="仿宋_GB2312" w:cs="仿宋_GB2312" w:eastAsia="仿宋_GB2312"/>
              </w:rPr>
              <w:t>施工工期</w:t>
            </w:r>
          </w:p>
        </w:tc>
        <w:tc>
          <w:tcPr>
            <w:tcW w:type="dxa" w:w="968"/>
          </w:tcPr>
          <w:p>
            <w:pPr>
              <w:pStyle w:val="null3"/>
            </w:pPr>
            <w:r>
              <w:rPr>
                <w:rFonts w:ascii="仿宋_GB2312" w:hAnsi="仿宋_GB2312" w:cs="仿宋_GB2312" w:eastAsia="仿宋_GB2312"/>
              </w:rPr>
              <w:t>项目经理</w:t>
            </w:r>
          </w:p>
        </w:tc>
        <w:tc>
          <w:tcPr>
            <w:tcW w:type="dxa" w:w="1210"/>
          </w:tcPr>
          <w:p>
            <w:pPr>
              <w:pStyle w:val="null3"/>
            </w:pPr>
            <w:r>
              <w:rPr>
                <w:rFonts w:ascii="仿宋_GB2312" w:hAnsi="仿宋_GB2312" w:cs="仿宋_GB2312" w:eastAsia="仿宋_GB2312"/>
              </w:rPr>
              <w:t>执业证书信息</w:t>
            </w:r>
          </w:p>
        </w:tc>
        <w:tc>
          <w:tcPr>
            <w:tcW w:type="dxa" w:w="1008"/>
          </w:tcPr>
          <w:p>
            <w:pPr>
              <w:pStyle w:val="null3"/>
            </w:pPr>
            <w:r>
              <w:rPr>
                <w:rFonts w:ascii="仿宋_GB2312" w:hAnsi="仿宋_GB2312" w:cs="仿宋_GB2312" w:eastAsia="仿宋_GB2312"/>
              </w:rPr>
              <w:t>金额(元)</w:t>
            </w:r>
          </w:p>
        </w:tc>
      </w:tr>
      <w:tr>
        <w:tc>
          <w:tcPr>
            <w:tcW w:type="dxa" w:w="1008"/>
          </w:tcPr>
          <w:p>
            <w:pPr>
              <w:pStyle w:val="null3"/>
            </w:pPr>
            <w:r>
              <w:rPr>
                <w:rFonts w:ascii="仿宋_GB2312" w:hAnsi="仿宋_GB2312" w:cs="仿宋_GB2312" w:eastAsia="仿宋_GB2312"/>
              </w:rPr>
              <w:t>1</w:t>
            </w:r>
          </w:p>
        </w:tc>
        <w:tc>
          <w:tcPr>
            <w:tcW w:type="dxa" w:w="968"/>
          </w:tcPr>
          <w:p>
            <w:pPr>
              <w:pStyle w:val="null3"/>
            </w:pPr>
            <w:r>
              <w:rPr>
                <w:rFonts w:ascii="仿宋_GB2312" w:hAnsi="仿宋_GB2312" w:cs="仿宋_GB2312" w:eastAsia="仿宋_GB2312"/>
              </w:rPr>
              <w:t>土地绿化工程施工</w:t>
            </w:r>
          </w:p>
        </w:tc>
        <w:tc>
          <w:tcPr>
            <w:tcW w:type="dxa" w:w="968"/>
          </w:tcPr>
          <w:p>
            <w:pPr>
              <w:pStyle w:val="null3"/>
            </w:pPr>
            <w:r>
              <w:rPr>
                <w:rFonts w:ascii="仿宋_GB2312" w:hAnsi="仿宋_GB2312" w:cs="仿宋_GB2312" w:eastAsia="仿宋_GB2312"/>
              </w:rPr>
              <w:t>退化林修复</w:t>
            </w:r>
          </w:p>
        </w:tc>
        <w:tc>
          <w:tcPr>
            <w:tcW w:type="dxa" w:w="1210"/>
          </w:tcPr>
          <w:p>
            <w:pPr>
              <w:pStyle w:val="null3"/>
            </w:pPr>
            <w:r>
              <w:rPr>
                <w:rFonts w:ascii="仿宋_GB2312" w:hAnsi="仿宋_GB2312" w:cs="仿宋_GB2312" w:eastAsia="仿宋_GB2312"/>
              </w:rPr>
              <w:t>项目设计总面积5530.0亩，涉及1个国有生态林场9个林班，划分3个作业区，其中麻台1410.4亩、阳洼河3303.2亩、义正816.4亩。</w:t>
            </w:r>
          </w:p>
        </w:tc>
        <w:tc>
          <w:tcPr>
            <w:tcW w:type="dxa" w:w="968"/>
          </w:tcPr>
          <w:p>
            <w:pPr>
              <w:pStyle w:val="null3"/>
            </w:pPr>
            <w:r>
              <w:rPr>
                <w:rFonts w:ascii="仿宋_GB2312" w:hAnsi="仿宋_GB2312" w:cs="仿宋_GB2312" w:eastAsia="仿宋_GB2312"/>
              </w:rPr>
              <w:t>180日历天</w:t>
            </w:r>
          </w:p>
        </w:tc>
        <w:tc>
          <w:tcPr>
            <w:tcW w:type="dxa" w:w="968"/>
          </w:tcPr>
          <w:p>
            <w:pPr>
              <w:pStyle w:val="null3"/>
            </w:pPr>
            <w:r>
              <w:rPr>
                <w:rFonts w:ascii="仿宋_GB2312" w:hAnsi="仿宋_GB2312" w:cs="仿宋_GB2312" w:eastAsia="仿宋_GB2312"/>
              </w:rPr>
              <w:t>党永莉</w:t>
            </w:r>
          </w:p>
        </w:tc>
        <w:tc>
          <w:tcPr>
            <w:tcW w:type="dxa" w:w="1210"/>
          </w:tcPr>
          <w:p>
            <w:pPr>
              <w:pStyle w:val="null3"/>
            </w:pPr>
            <w:r>
              <w:rPr>
                <w:rFonts w:ascii="仿宋_GB2312" w:hAnsi="仿宋_GB2312" w:cs="仿宋_GB2312" w:eastAsia="仿宋_GB2312"/>
              </w:rPr>
              <w:t>1089046</w:t>
            </w:r>
          </w:p>
        </w:tc>
        <w:tc>
          <w:tcPr>
            <w:tcW w:type="dxa" w:w="1008"/>
          </w:tcPr>
          <w:p>
            <w:pPr>
              <w:pStyle w:val="null3"/>
            </w:pPr>
            <w:r>
              <w:rPr>
                <w:rFonts w:ascii="仿宋_GB2312" w:hAnsi="仿宋_GB2312" w:cs="仿宋_GB2312" w:eastAsia="仿宋_GB2312"/>
              </w:rPr>
              <w:t>3,071,376.00</w:t>
            </w:r>
          </w:p>
        </w:tc>
      </w:tr>
    </w:tbl>
    <w:p>
      <w:pPr>
        <w:pStyle w:val="null3"/>
        <w:outlineLvl w:val="3"/>
      </w:pPr>
      <w:r>
        <w:rPr>
          <w:rFonts w:ascii="仿宋_GB2312" w:hAnsi="仿宋_GB2312" w:cs="仿宋_GB2312" w:eastAsia="仿宋_GB2312"/>
          <w:sz w:val="24"/>
          <w:b/>
        </w:rPr>
        <w:t>五、评审专家（单一来源采购人员）名单：</w:t>
      </w:r>
    </w:p>
    <w:p>
      <w:pPr>
        <w:pStyle w:val="null3"/>
      </w:pPr>
      <w:r>
        <w:rPr>
          <w:rFonts w:ascii="仿宋_GB2312" w:hAnsi="仿宋_GB2312" w:cs="仿宋_GB2312" w:eastAsia="仿宋_GB2312"/>
        </w:rPr>
        <w:t>沙志洋（采购人代表）</w:t>
      </w:r>
      <w:r>
        <w:rPr>
          <w:rFonts w:ascii="仿宋_GB2312" w:hAnsi="仿宋_GB2312" w:cs="仿宋_GB2312" w:eastAsia="仿宋_GB2312"/>
        </w:rPr>
        <w:t>、</w:t>
      </w:r>
      <w:r>
        <w:rPr>
          <w:rFonts w:ascii="仿宋_GB2312" w:hAnsi="仿宋_GB2312" w:cs="仿宋_GB2312" w:eastAsia="仿宋_GB2312"/>
        </w:rPr>
        <w:t>牛延梅</w:t>
      </w:r>
      <w:r>
        <w:rPr>
          <w:rFonts w:ascii="仿宋_GB2312" w:hAnsi="仿宋_GB2312" w:cs="仿宋_GB2312" w:eastAsia="仿宋_GB2312"/>
        </w:rPr>
        <w:t>、</w:t>
      </w:r>
      <w:r>
        <w:rPr>
          <w:rFonts w:ascii="仿宋_GB2312" w:hAnsi="仿宋_GB2312" w:cs="仿宋_GB2312" w:eastAsia="仿宋_GB2312"/>
        </w:rPr>
        <w:t>师艳斌</w:t>
      </w:r>
    </w:p>
    <w:p>
      <w:pPr>
        <w:pStyle w:val="null3"/>
        <w:outlineLvl w:val="3"/>
      </w:pPr>
      <w:r>
        <w:rPr>
          <w:rFonts w:ascii="仿宋_GB2312" w:hAnsi="仿宋_GB2312" w:cs="仿宋_GB2312" w:eastAsia="仿宋_GB2312"/>
          <w:sz w:val="24"/>
          <w:b/>
        </w:rPr>
        <w:t>六、代理服务收费标准及金额：</w:t>
      </w:r>
    </w:p>
    <w:tbl>
      <w:tblPr>
        <w:tblW w:w="0" w:type="auto"/>
        <w:tblBorders>
          <w:top w:val="single"/>
          <w:left w:val="single"/>
          <w:bottom w:val="single"/>
          <w:right w:val="single"/>
          <w:insideH w:val="single"/>
          <w:insideV w:val="single"/>
        </w:tblBorders>
      </w:tblPr>
      <w:tblGrid>
        <w:gridCol w:w="1246"/>
        <w:gridCol w:w="2907"/>
        <w:gridCol w:w="2907"/>
        <w:gridCol w:w="1246"/>
      </w:tblGrid>
      <w:tr>
        <w:tc>
          <w:tcPr>
            <w:tcW w:type="dxa" w:w="4153"/>
            <w:gridSpan w:val="2"/>
          </w:tcPr>
          <w:p>
            <w:pPr>
              <w:pStyle w:val="null3"/>
            </w:pPr>
            <w:r>
              <w:rPr>
                <w:rFonts w:ascii="仿宋_GB2312" w:hAnsi="仿宋_GB2312" w:cs="仿宋_GB2312" w:eastAsia="仿宋_GB2312"/>
              </w:rPr>
              <w:t>代理服务收费标准及金额</w:t>
            </w:r>
          </w:p>
        </w:tc>
        <w:tc>
          <w:tcPr>
            <w:tcW w:type="dxa" w:w="4153"/>
            <w:gridSpan w:val="2"/>
          </w:tcPr>
          <w:p>
            <w:pPr>
              <w:pStyle w:val="null3"/>
            </w:pPr>
            <w:r>
              <w:rPr>
                <w:rFonts w:ascii="仿宋_GB2312" w:hAnsi="仿宋_GB2312" w:cs="仿宋_GB2312" w:eastAsia="仿宋_GB2312"/>
              </w:rPr>
              <w:t>代理费收费标准依据《国家发展改革委关于进一步放开建设项目专业服务价格的通知》发改价格〔2015〕299号参照原国家计委颁布的《招标代理服务收费管理暂行办法》（计价格[2002]1980号）及发改办价格[2003]857号文件的规定标准收取。</w:t>
            </w:r>
          </w:p>
        </w:tc>
      </w:tr>
      <w:tr>
        <w:tc>
          <w:tcPr>
            <w:tcW w:type="dxa" w:w="1246"/>
          </w:tcPr>
          <w:p>
            <w:pPr>
              <w:pStyle w:val="null3"/>
            </w:pPr>
            <w:r>
              <w:rPr>
                <w:rFonts w:ascii="仿宋_GB2312" w:hAnsi="仿宋_GB2312" w:cs="仿宋_GB2312" w:eastAsia="仿宋_GB2312"/>
              </w:rPr>
              <w:t>合同包号</w:t>
            </w:r>
          </w:p>
        </w:tc>
        <w:tc>
          <w:tcPr>
            <w:tcW w:type="dxa" w:w="2907"/>
          </w:tcPr>
          <w:p>
            <w:pPr>
              <w:pStyle w:val="null3"/>
            </w:pPr>
            <w:r>
              <w:rPr>
                <w:rFonts w:ascii="仿宋_GB2312" w:hAnsi="仿宋_GB2312" w:cs="仿宋_GB2312" w:eastAsia="仿宋_GB2312"/>
              </w:rPr>
              <w:t>合同包名称</w:t>
            </w:r>
          </w:p>
        </w:tc>
        <w:tc>
          <w:tcPr>
            <w:tcW w:type="dxa" w:w="2907"/>
          </w:tcPr>
          <w:p>
            <w:pPr>
              <w:pStyle w:val="null3"/>
            </w:pPr>
            <w:r>
              <w:rPr>
                <w:rFonts w:ascii="仿宋_GB2312" w:hAnsi="仿宋_GB2312" w:cs="仿宋_GB2312" w:eastAsia="仿宋_GB2312"/>
              </w:rPr>
              <w:t>代理服务费金额（万元）</w:t>
            </w:r>
          </w:p>
        </w:tc>
        <w:tc>
          <w:tcPr>
            <w:tcW w:type="dxa" w:w="1246"/>
          </w:tcPr>
          <w:p>
            <w:pPr>
              <w:pStyle w:val="null3"/>
            </w:pPr>
            <w:r>
              <w:rPr>
                <w:rFonts w:ascii="仿宋_GB2312" w:hAnsi="仿宋_GB2312" w:cs="仿宋_GB2312" w:eastAsia="仿宋_GB2312"/>
              </w:rPr>
              <w:t>收取对象</w:t>
            </w:r>
          </w:p>
        </w:tc>
      </w:tr>
      <w:tr>
        <w:tc>
          <w:tcPr>
            <w:tcW w:type="dxa" w:w="1246"/>
          </w:tcPr>
          <w:p>
            <w:pPr>
              <w:pStyle w:val="null3"/>
            </w:pPr>
            <w:r>
              <w:rPr>
                <w:rFonts w:ascii="仿宋_GB2312" w:hAnsi="仿宋_GB2312" w:cs="仿宋_GB2312" w:eastAsia="仿宋_GB2312"/>
              </w:rPr>
              <w:t>1</w:t>
            </w:r>
          </w:p>
        </w:tc>
        <w:tc>
          <w:tcPr>
            <w:tcW w:type="dxa" w:w="2907"/>
          </w:tcPr>
          <w:p>
            <w:pPr>
              <w:pStyle w:val="null3"/>
            </w:pPr>
            <w:r>
              <w:rPr>
                <w:rFonts w:ascii="仿宋_GB2312" w:hAnsi="仿宋_GB2312" w:cs="仿宋_GB2312" w:eastAsia="仿宋_GB2312"/>
              </w:rPr>
              <w:t>志丹县林业局2026年陕西省延安北部“三北”工程林草湿荒一体化保护修复项目退化林修复工程项目</w:t>
            </w:r>
          </w:p>
        </w:tc>
        <w:tc>
          <w:tcPr>
            <w:tcW w:type="dxa" w:w="2907"/>
          </w:tcPr>
          <w:p>
            <w:pPr>
              <w:pStyle w:val="null3"/>
            </w:pPr>
            <w:r>
              <w:rPr>
                <w:rFonts w:ascii="仿宋_GB2312" w:hAnsi="仿宋_GB2312" w:cs="仿宋_GB2312" w:eastAsia="仿宋_GB2312"/>
              </w:rPr>
              <w:t>2.4499</w:t>
            </w:r>
          </w:p>
        </w:tc>
        <w:tc>
          <w:tcPr>
            <w:tcW w:type="dxa" w:w="1246"/>
          </w:tcPr>
          <w:p>
            <w:pPr>
              <w:pStyle w:val="null3"/>
            </w:pPr>
            <w:r>
              <w:rPr>
                <w:rFonts w:ascii="仿宋_GB2312" w:hAnsi="仿宋_GB2312" w:cs="仿宋_GB2312" w:eastAsia="仿宋_GB2312"/>
              </w:rPr>
              <w:t>成交供应商</w:t>
            </w:r>
          </w:p>
        </w:tc>
      </w:tr>
    </w:tbl>
    <w:p>
      <w:pPr>
        <w:pStyle w:val="null3"/>
        <w:outlineLvl w:val="3"/>
      </w:pPr>
      <w:r>
        <w:rPr>
          <w:rFonts w:ascii="仿宋_GB2312" w:hAnsi="仿宋_GB2312" w:cs="仿宋_GB2312" w:eastAsia="仿宋_GB2312"/>
          <w:sz w:val="24"/>
          <w:b/>
        </w:rPr>
        <w:t>七、公告期限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1</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八、其他补充事宜</w:t>
      </w:r>
    </w:p>
    <w:p>
      <w:pPr>
        <w:pStyle w:val="null3"/>
      </w:pPr>
      <w:r>
        <w:rPr>
          <w:rFonts w:ascii="仿宋_GB2312" w:hAnsi="仿宋_GB2312" w:cs="仿宋_GB2312" w:eastAsia="仿宋_GB2312"/>
        </w:rPr>
        <w:t>/</w:t>
      </w:r>
    </w:p>
    <w:p>
      <w:pPr>
        <w:pStyle w:val="null3"/>
        <w:outlineLvl w:val="3"/>
      </w:pPr>
      <w:r>
        <w:rPr>
          <w:rFonts w:ascii="仿宋_GB2312" w:hAnsi="仿宋_GB2312" w:cs="仿宋_GB2312" w:eastAsia="仿宋_GB2312"/>
          <w:sz w:val="24"/>
          <w:b/>
        </w:rPr>
        <w:t>九、凡对本次公告内容提出询问，请按以下方式联系。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志丹县林业局</w:t>
      </w:r>
    </w:p>
    <w:p>
      <w:pPr>
        <w:pStyle w:val="null3"/>
      </w:pPr>
      <w:r>
        <w:rPr>
          <w:rFonts w:ascii="仿宋_GB2312" w:hAnsi="仿宋_GB2312" w:cs="仿宋_GB2312" w:eastAsia="仿宋_GB2312"/>
        </w:rPr>
        <w:t>地址：</w:t>
      </w:r>
      <w:r>
        <w:rPr>
          <w:rFonts w:ascii="仿宋_GB2312" w:hAnsi="仿宋_GB2312" w:cs="仿宋_GB2312" w:eastAsia="仿宋_GB2312"/>
        </w:rPr>
        <w:t>志丹县城北街</w:t>
      </w:r>
    </w:p>
    <w:p>
      <w:pPr>
        <w:pStyle w:val="null3"/>
      </w:pPr>
      <w:r>
        <w:rPr>
          <w:rFonts w:ascii="仿宋_GB2312" w:hAnsi="仿宋_GB2312" w:cs="仿宋_GB2312" w:eastAsia="仿宋_GB2312"/>
        </w:rPr>
        <w:t>联系方式：</w:t>
      </w:r>
      <w:r>
        <w:rPr>
          <w:rFonts w:ascii="仿宋_GB2312" w:hAnsi="仿宋_GB2312" w:cs="仿宋_GB2312" w:eastAsia="仿宋_GB2312"/>
        </w:rPr>
        <w:t>0911-6622348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铭森信达（陕西）项目管理有限公司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陕西省西安市雁塔区陕西省西安市高新区唐延路1号旺座国际城1幢2单元22902—B080</w:t>
      </w:r>
    </w:p>
    <w:p>
      <w:pPr>
        <w:pStyle w:val="null3"/>
      </w:pPr>
      <w:r>
        <w:rPr>
          <w:rFonts w:ascii="仿宋_GB2312" w:hAnsi="仿宋_GB2312" w:cs="仿宋_GB2312" w:eastAsia="仿宋_GB2312"/>
        </w:rPr>
        <w:t>联系方式：</w:t>
      </w:r>
      <w:r>
        <w:rPr>
          <w:rFonts w:ascii="仿宋_GB2312" w:hAnsi="仿宋_GB2312" w:cs="仿宋_GB2312" w:eastAsia="仿宋_GB2312"/>
        </w:rPr>
        <w:t>18709117884</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曹海霞</w:t>
      </w:r>
    </w:p>
    <w:p>
      <w:pPr>
        <w:pStyle w:val="null3"/>
      </w:pPr>
      <w:r>
        <w:rPr>
          <w:rFonts w:ascii="仿宋_GB2312" w:hAnsi="仿宋_GB2312" w:cs="仿宋_GB2312" w:eastAsia="仿宋_GB2312"/>
        </w:rPr>
        <w:t>电话：</w:t>
      </w:r>
      <w:r>
        <w:rPr>
          <w:rFonts w:ascii="仿宋_GB2312" w:hAnsi="仿宋_GB2312" w:cs="仿宋_GB2312" w:eastAsia="仿宋_GB2312"/>
        </w:rPr>
        <w:t>18709117884</w:t>
      </w:r>
    </w:p>
    <w:p>
      <w:pPr>
        <w:pStyle w:val="null3"/>
        <w:jc w:val="right"/>
      </w:pPr>
      <w:r>
        <w:rPr>
          <w:rFonts w:ascii="仿宋_GB2312" w:hAnsi="仿宋_GB2312" w:cs="仿宋_GB2312" w:eastAsia="仿宋_GB2312"/>
        </w:rPr>
        <w:t>铭森信达（陕西）项目管理有限公司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