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版本号：SZT2026-SN-QC-ZC-FW-065720260706001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2026年雁塔区政府网站及政务新媒体运维监测服务项目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SZT2026-SN-QC-ZC-FW-0657</w:t>
      </w:r>
      <w:r>
        <w:br/>
      </w:r>
      <w:r>
        <w:br/>
      </w:r>
      <w:r>
        <w:br/>
      </w:r>
    </w:p>
    <w:p>
      <w:pPr>
        <w:pStyle w:val="null3"/>
        <w:jc w:val="center"/>
        <w:outlineLvl w:val="2"/>
      </w:pPr>
      <w:r>
        <w:rPr>
          <w:rFonts w:ascii="仿宋_GB2312" w:hAnsi="仿宋_GB2312" w:cs="仿宋_GB2312" w:eastAsia="仿宋_GB2312"/>
          <w:sz w:val="28"/>
          <w:b/>
        </w:rPr>
        <w:t>西安市雁塔区人民政府办公室</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西安市雁塔区人民政府办公室</w:t>
      </w:r>
      <w:r>
        <w:rPr>
          <w:rFonts w:ascii="仿宋_GB2312" w:hAnsi="仿宋_GB2312" w:cs="仿宋_GB2312" w:eastAsia="仿宋_GB2312"/>
        </w:rPr>
        <w:t>委托，拟对</w:t>
      </w:r>
      <w:r>
        <w:rPr>
          <w:rFonts w:ascii="仿宋_GB2312" w:hAnsi="仿宋_GB2312" w:cs="仿宋_GB2312" w:eastAsia="仿宋_GB2312"/>
        </w:rPr>
        <w:t>2026年雁塔区政府网站及政务新媒体运维监测服务项目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SZT2026-SN-QC-ZC-FW-0657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2026年雁塔区政府网站及政务新媒体运维监测服务项目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雁塔区政府网站及政务新媒体运维监测服务项目。具体内容详见磋商文件第三章。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采购包1（2026年雁塔区政府网站及政务新媒体运维监测服务项目）：属于专门面向小微企业采购。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2、不接受联合体磋商：不接受联合体磋商（提供相应承诺）；供应商需在项目电子化交易系统中按要求上传相应证明文件并进行电子签章。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西安市雁塔区小寨东路168号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张家豪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029-85382240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王哲、胡婷、肖懿、米成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029-87304326转827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关于印发&lt;招标代理服务收费管理暂行办法&gt;的通知》（计价格〔2002〕1980号）规定标准和行业惯例及市场调节定额收取人民币捌仟捌佰伍拾元整。2、中标/成交单位在领取成交通知书前，须向采购代理机构一次性支付招标代理服务费。招标代理服务费缴存账户： 开户名称：陕西中技招标有限公司 开户行名称：招商银行西安分行营业部 账号：1299 1681 2810 001 转账事由/备注：(编号后四位）项目招标代理服务费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西安市雁塔区人民政府办公室</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西安市雁塔区人民政府办公室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成交供应商应保证采购人在使用所涉技术方案或其任何一部分技术资料时，免受第三方提出侵犯其专利权、商标权或工业设计权等知识产权的起诉。如果发生诉讼，所有费用和责任由成交供应商承担。</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国家相应的标准和规范，满足采购人要求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雁塔区政府网站及政务新媒体运维监测服务项目。具体内容详见磋商文件第三章。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590,000.00</w:t>
      </w:r>
    </w:p>
    <w:p>
      <w:pPr>
        <w:pStyle w:val="null3"/>
      </w:pPr>
      <w:r>
        <w:rPr>
          <w:rFonts w:ascii="仿宋_GB2312" w:hAnsi="仿宋_GB2312" w:cs="仿宋_GB2312" w:eastAsia="仿宋_GB2312"/>
        </w:rPr>
        <w:t>采购包最高限价（元）: 590,000.00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网站运维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标的名称：网站运维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705"/>
              <w:jc w:val="left"/>
              <w:outlineLvl w:val="0"/>
            </w:pPr>
            <w:r>
              <w:rPr>
                <w:rFonts w:ascii="仿宋_GB2312" w:hAnsi="仿宋_GB2312" w:cs="仿宋_GB2312" w:eastAsia="仿宋_GB2312"/>
                <w:sz w:val="24"/>
                <w:b/>
              </w:rPr>
              <w:t>1、</w:t>
            </w: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b/>
              </w:rPr>
              <w:t>采购内容及用途：</w:t>
            </w:r>
            <w:r>
              <w:rPr>
                <w:rFonts w:ascii="仿宋_GB2312" w:hAnsi="仿宋_GB2312" w:cs="仿宋_GB2312" w:eastAsia="仿宋_GB2312"/>
                <w:sz w:val="24"/>
              </w:rPr>
              <w:t>项目用于满足</w:t>
            </w:r>
            <w:r>
              <w:rPr>
                <w:rFonts w:ascii="仿宋_GB2312" w:hAnsi="仿宋_GB2312" w:cs="仿宋_GB2312" w:eastAsia="仿宋_GB2312"/>
                <w:sz w:val="24"/>
              </w:rPr>
              <w:t>2026年雁塔区政府网站及政务新媒体运维监测服务。</w:t>
            </w:r>
          </w:p>
          <w:p>
            <w:pPr>
              <w:pStyle w:val="null3"/>
              <w:ind w:left="705"/>
              <w:jc w:val="left"/>
              <w:outlineLvl w:val="0"/>
            </w:pPr>
            <w:r>
              <w:rPr>
                <w:rFonts w:ascii="仿宋_GB2312" w:hAnsi="仿宋_GB2312" w:cs="仿宋_GB2312" w:eastAsia="仿宋_GB2312"/>
                <w:sz w:val="24"/>
                <w:b/>
              </w:rPr>
              <w:t>2、</w:t>
            </w:r>
            <w:r>
              <w:rPr>
                <w:rFonts w:ascii="仿宋_GB2312" w:hAnsi="仿宋_GB2312" w:cs="仿宋_GB2312" w:eastAsia="仿宋_GB2312"/>
                <w:sz w:val="24"/>
                <w:b/>
              </w:rPr>
              <w:t>服务内容及要求</w:t>
            </w:r>
          </w:p>
          <w:p>
            <w:pPr>
              <w:pStyle w:val="null3"/>
              <w:ind w:left="705"/>
              <w:jc w:val="both"/>
              <w:outlineLvl w:val="1"/>
            </w:pPr>
            <w:r>
              <w:rPr>
                <w:rFonts w:ascii="仿宋_GB2312" w:hAnsi="仿宋_GB2312" w:cs="仿宋_GB2312" w:eastAsia="仿宋_GB2312"/>
                <w:sz w:val="24"/>
                <w:b/>
              </w:rPr>
              <w:t>2.1</w:t>
            </w:r>
            <w:r>
              <w:rPr>
                <w:rFonts w:ascii="仿宋_GB2312" w:hAnsi="仿宋_GB2312" w:cs="仿宋_GB2312" w:eastAsia="仿宋_GB2312"/>
                <w:sz w:val="24"/>
                <w:b/>
              </w:rPr>
              <w:t>项目背景</w:t>
            </w:r>
          </w:p>
          <w:p>
            <w:pPr>
              <w:pStyle w:val="null3"/>
              <w:ind w:firstLine="480"/>
              <w:jc w:val="both"/>
            </w:pPr>
            <w:r>
              <w:rPr>
                <w:rFonts w:ascii="仿宋_GB2312" w:hAnsi="仿宋_GB2312" w:cs="仿宋_GB2312" w:eastAsia="仿宋_GB2312"/>
                <w:sz w:val="24"/>
              </w:rPr>
              <w:t>为切实做好新时代政务公开工作，加强政策解读、政民互动、平台建设等工作，持续推进基层政务公开标准化规范化建设，有效防范政务公开风险，根据《西安市政府网站集约化平台管理办法》</w:t>
            </w:r>
            <w:r>
              <w:rPr>
                <w:rFonts w:ascii="仿宋_GB2312" w:hAnsi="仿宋_GB2312" w:cs="仿宋_GB2312" w:eastAsia="仿宋_GB2312"/>
                <w:sz w:val="24"/>
              </w:rPr>
              <w:t>、</w:t>
            </w:r>
            <w:r>
              <w:rPr>
                <w:rFonts w:ascii="仿宋_GB2312" w:hAnsi="仿宋_GB2312" w:cs="仿宋_GB2312" w:eastAsia="仿宋_GB2312"/>
                <w:sz w:val="24"/>
              </w:rPr>
              <w:t>《西安市人民政府办公厅关于进一步规范政务新媒体管理工作的通知》（市政办函〔</w:t>
            </w:r>
            <w:r>
              <w:rPr>
                <w:rFonts w:ascii="仿宋_GB2312" w:hAnsi="仿宋_GB2312" w:cs="仿宋_GB2312" w:eastAsia="仿宋_GB2312"/>
                <w:sz w:val="24"/>
              </w:rPr>
              <w:t>2019〕163号）以及中省市政务公开检查与考核要求，为了保障雁塔区政府门户网站安全平稳运行和自管政务新媒体的健康有序发展。</w:t>
            </w:r>
          </w:p>
          <w:p>
            <w:pPr>
              <w:pStyle w:val="null3"/>
              <w:jc w:val="both"/>
              <w:outlineLvl w:val="1"/>
            </w:pPr>
            <w:r>
              <w:rPr>
                <w:rFonts w:ascii="仿宋_GB2312" w:hAnsi="仿宋_GB2312" w:cs="仿宋_GB2312" w:eastAsia="仿宋_GB2312"/>
                <w:sz w:val="24"/>
                <w:b/>
              </w:rPr>
              <w:t>2.2</w:t>
            </w:r>
            <w:r>
              <w:rPr>
                <w:rFonts w:ascii="仿宋_GB2312" w:hAnsi="仿宋_GB2312" w:cs="仿宋_GB2312" w:eastAsia="仿宋_GB2312"/>
                <w:sz w:val="24"/>
                <w:b/>
              </w:rPr>
              <w:t>服务内容及要求</w:t>
            </w:r>
          </w:p>
          <w:p>
            <w:pPr>
              <w:pStyle w:val="null3"/>
              <w:ind w:left="705"/>
              <w:jc w:val="both"/>
              <w:outlineLvl w:val="2"/>
            </w:pPr>
            <w:r>
              <w:rPr>
                <w:rFonts w:ascii="仿宋_GB2312" w:hAnsi="仿宋_GB2312" w:cs="仿宋_GB2312" w:eastAsia="仿宋_GB2312"/>
                <w:sz w:val="24"/>
                <w:b/>
              </w:rPr>
              <w:t>2.2.1</w:t>
            </w:r>
            <w:r>
              <w:rPr>
                <w:rFonts w:ascii="仿宋_GB2312" w:hAnsi="仿宋_GB2312" w:cs="仿宋_GB2312" w:eastAsia="仿宋_GB2312"/>
                <w:sz w:val="24"/>
                <w:b/>
              </w:rPr>
              <w:t>政务公开建设服务</w:t>
            </w:r>
          </w:p>
          <w:p>
            <w:pPr>
              <w:pStyle w:val="null3"/>
              <w:ind w:left="705"/>
              <w:jc w:val="both"/>
              <w:outlineLvl w:val="3"/>
            </w:pPr>
            <w:r>
              <w:rPr>
                <w:rFonts w:ascii="仿宋_GB2312" w:hAnsi="仿宋_GB2312" w:cs="仿宋_GB2312" w:eastAsia="仿宋_GB2312"/>
                <w:sz w:val="24"/>
                <w:b/>
              </w:rPr>
              <w:t>2.2.1.1</w:t>
            </w:r>
            <w:r>
              <w:rPr>
                <w:rFonts w:ascii="仿宋_GB2312" w:hAnsi="仿宋_GB2312" w:cs="仿宋_GB2312" w:eastAsia="仿宋_GB2312"/>
                <w:sz w:val="24"/>
                <w:b/>
              </w:rPr>
              <w:t>政策解读服务</w:t>
            </w:r>
          </w:p>
          <w:p>
            <w:pPr>
              <w:pStyle w:val="null3"/>
              <w:ind w:firstLine="480"/>
              <w:jc w:val="both"/>
            </w:pPr>
            <w:r>
              <w:rPr>
                <w:rFonts w:ascii="仿宋_GB2312" w:hAnsi="仿宋_GB2312" w:cs="仿宋_GB2312" w:eastAsia="仿宋_GB2312"/>
                <w:sz w:val="24"/>
              </w:rPr>
              <w:t>对政策文件及解读材料进行梳理、分类、提炼、精简，重新归纳组织，详细介绍政策的背景依据、目标任务、主要内容和解决的问题等，通过数字化、图表图解、音频、视频、动漫等形式，在区政府门户网站予以展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1）制作政策图解产品。完成政府政策文件、政务公开年报等重点信息图文解读的设计、制作和发布，全年不少于55个。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制作动漫视频解读产品。以视频动画的形式（视频时长不少于1分钟），将文字、漫画、视频、音乐等多元素结合，融合动画电影与图形设计的语言，基于时间流动而设计的视觉表现形式，深入浅出、通俗易懂地解读政策，全年不少于4个。</w:t>
            </w:r>
          </w:p>
          <w:p>
            <w:pPr>
              <w:pStyle w:val="null3"/>
              <w:ind w:left="705"/>
              <w:jc w:val="both"/>
              <w:outlineLvl w:val="3"/>
            </w:pPr>
            <w:r>
              <w:rPr>
                <w:rFonts w:ascii="仿宋_GB2312" w:hAnsi="仿宋_GB2312" w:cs="仿宋_GB2312" w:eastAsia="仿宋_GB2312"/>
                <w:sz w:val="24"/>
                <w:b/>
              </w:rPr>
              <w:t>2.2.1.2</w:t>
            </w:r>
            <w:r>
              <w:rPr>
                <w:rFonts w:ascii="仿宋_GB2312" w:hAnsi="仿宋_GB2312" w:cs="仿宋_GB2312" w:eastAsia="仿宋_GB2312"/>
                <w:sz w:val="24"/>
                <w:b/>
              </w:rPr>
              <w:t>对标诊断服务</w:t>
            </w:r>
          </w:p>
          <w:p>
            <w:pPr>
              <w:pStyle w:val="null3"/>
              <w:ind w:firstLine="480"/>
              <w:jc w:val="both"/>
            </w:pPr>
            <w:r>
              <w:rPr>
                <w:rFonts w:ascii="仿宋_GB2312" w:hAnsi="仿宋_GB2312" w:cs="仿宋_GB2312" w:eastAsia="仿宋_GB2312"/>
                <w:sz w:val="24"/>
              </w:rPr>
              <w:t>根据省市政务公开考核评估指标要求，采用人工比对核查、人工统计核算、查阅自评报告、邮件模拟测评等多样化方式，从机制保障、平台建设、公开内容等方面，对全区政务公开工作情况（含区政府门户网站、政务新媒体）进行全面诊断、对标检查和综合评估，提出每个指标的表现情况，指出存在的问题和不足，形成《对标诊断报告》。同时，安排专人就整改过程遇到的问题进行解答，协助整改落实。</w:t>
            </w:r>
          </w:p>
          <w:p>
            <w:pPr>
              <w:pStyle w:val="null3"/>
              <w:ind w:left="705"/>
              <w:jc w:val="both"/>
              <w:outlineLvl w:val="3"/>
            </w:pPr>
            <w:r>
              <w:rPr>
                <w:rFonts w:ascii="仿宋_GB2312" w:hAnsi="仿宋_GB2312" w:cs="仿宋_GB2312" w:eastAsia="仿宋_GB2312"/>
                <w:sz w:val="24"/>
                <w:b/>
              </w:rPr>
              <w:t>2.2.1.3</w:t>
            </w:r>
            <w:r>
              <w:rPr>
                <w:rFonts w:ascii="仿宋_GB2312" w:hAnsi="仿宋_GB2312" w:cs="仿宋_GB2312" w:eastAsia="仿宋_GB2312"/>
                <w:sz w:val="24"/>
                <w:b/>
              </w:rPr>
              <w:t>业务培训服务</w:t>
            </w:r>
          </w:p>
          <w:p>
            <w:pPr>
              <w:pStyle w:val="null3"/>
              <w:ind w:firstLine="480"/>
              <w:jc w:val="both"/>
            </w:pPr>
            <w:r>
              <w:rPr>
                <w:rFonts w:ascii="仿宋_GB2312" w:hAnsi="仿宋_GB2312" w:cs="仿宋_GB2312" w:eastAsia="仿宋_GB2312"/>
                <w:sz w:val="24"/>
              </w:rPr>
              <w:t>每年度至少举行</w:t>
            </w:r>
            <w:r>
              <w:rPr>
                <w:rFonts w:ascii="仿宋_GB2312" w:hAnsi="仿宋_GB2312" w:cs="仿宋_GB2312" w:eastAsia="仿宋_GB2312"/>
                <w:sz w:val="24"/>
              </w:rPr>
              <w:t>2次政务公开工作培训，具体包括“政府网站运维、政务新媒体运行、政府信息依申请公开”等方面内容。甲方负责培训工作组织和培训地点/专家的确定。乙方负责按照培训要求聘请相关专家和技术人员授课，并做好会务保障。通过名师授课、案例分析、实际演练、经验共享等方式，提升各单位对政务公开工作水平。</w:t>
            </w:r>
          </w:p>
          <w:p>
            <w:pPr>
              <w:pStyle w:val="null3"/>
              <w:ind w:left="705"/>
              <w:jc w:val="both"/>
              <w:outlineLvl w:val="2"/>
            </w:pPr>
            <w:r>
              <w:rPr>
                <w:rFonts w:ascii="仿宋_GB2312" w:hAnsi="仿宋_GB2312" w:cs="仿宋_GB2312" w:eastAsia="仿宋_GB2312"/>
                <w:sz w:val="24"/>
                <w:b/>
              </w:rPr>
              <w:t>2.2.2</w:t>
            </w:r>
            <w:r>
              <w:rPr>
                <w:rFonts w:ascii="仿宋_GB2312" w:hAnsi="仿宋_GB2312" w:cs="仿宋_GB2312" w:eastAsia="仿宋_GB2312"/>
                <w:sz w:val="24"/>
                <w:b/>
              </w:rPr>
              <w:t>区政府门户网站运维及监测提升服务</w:t>
            </w:r>
          </w:p>
          <w:p>
            <w:pPr>
              <w:pStyle w:val="null3"/>
              <w:ind w:left="705"/>
              <w:jc w:val="both"/>
              <w:outlineLvl w:val="3"/>
            </w:pPr>
            <w:r>
              <w:rPr>
                <w:rFonts w:ascii="仿宋_GB2312" w:hAnsi="仿宋_GB2312" w:cs="仿宋_GB2312" w:eastAsia="仿宋_GB2312"/>
                <w:sz w:val="24"/>
                <w:b/>
              </w:rPr>
              <w:t>2.2.2.1</w:t>
            </w:r>
            <w:r>
              <w:rPr>
                <w:rFonts w:ascii="仿宋_GB2312" w:hAnsi="仿宋_GB2312" w:cs="仿宋_GB2312" w:eastAsia="仿宋_GB2312"/>
                <w:sz w:val="24"/>
                <w:b/>
              </w:rPr>
              <w:t>网站运维服务团队</w:t>
            </w:r>
          </w:p>
          <w:p>
            <w:pPr>
              <w:pStyle w:val="null3"/>
              <w:ind w:firstLine="480"/>
              <w:jc w:val="both"/>
            </w:pPr>
            <w:r>
              <w:rPr>
                <w:rFonts w:ascii="仿宋_GB2312" w:hAnsi="仿宋_GB2312" w:cs="仿宋_GB2312" w:eastAsia="仿宋_GB2312"/>
                <w:sz w:val="24"/>
              </w:rPr>
              <w:t>建立专业化、固定化、</w:t>
            </w:r>
            <w:r>
              <w:rPr>
                <w:rFonts w:ascii="仿宋_GB2312" w:hAnsi="仿宋_GB2312" w:cs="仿宋_GB2312" w:eastAsia="仿宋_GB2312"/>
                <w:sz w:val="24"/>
              </w:rPr>
              <w:t>“一对一”的网站运维服务团队，落实24小时网站维护值班制度，为用户提供全天候服务保障。</w:t>
            </w:r>
          </w:p>
          <w:p>
            <w:pPr>
              <w:pStyle w:val="null3"/>
              <w:ind w:left="705"/>
              <w:jc w:val="both"/>
              <w:outlineLvl w:val="3"/>
            </w:pPr>
            <w:r>
              <w:rPr>
                <w:rFonts w:ascii="仿宋_GB2312" w:hAnsi="仿宋_GB2312" w:cs="仿宋_GB2312" w:eastAsia="仿宋_GB2312"/>
                <w:sz w:val="24"/>
                <w:b/>
              </w:rPr>
              <w:t>2.2.2.2</w:t>
            </w:r>
            <w:r>
              <w:rPr>
                <w:rFonts w:ascii="仿宋_GB2312" w:hAnsi="仿宋_GB2312" w:cs="仿宋_GB2312" w:eastAsia="仿宋_GB2312"/>
                <w:sz w:val="24"/>
                <w:b/>
              </w:rPr>
              <w:t>网站日常运维</w:t>
            </w:r>
          </w:p>
          <w:p>
            <w:pPr>
              <w:pStyle w:val="null3"/>
              <w:ind w:firstLine="480"/>
              <w:jc w:val="both"/>
            </w:pPr>
            <w:r>
              <w:rPr>
                <w:rFonts w:ascii="仿宋_GB2312" w:hAnsi="仿宋_GB2312" w:cs="仿宋_GB2312" w:eastAsia="仿宋_GB2312"/>
                <w:sz w:val="24"/>
              </w:rPr>
              <w:t>提供网站日常运维服务，具体包括网站问题修改、网站监控、网站管理、安全维护、网站咨询、重要时期保障、系统培训等服务，协助做好安全等级保护测评等工作。</w:t>
            </w:r>
          </w:p>
          <w:p>
            <w:pPr>
              <w:pStyle w:val="null3"/>
              <w:ind w:left="705"/>
              <w:jc w:val="both"/>
              <w:outlineLvl w:val="3"/>
            </w:pPr>
            <w:r>
              <w:rPr>
                <w:rFonts w:ascii="仿宋_GB2312" w:hAnsi="仿宋_GB2312" w:cs="仿宋_GB2312" w:eastAsia="仿宋_GB2312"/>
                <w:sz w:val="24"/>
                <w:b/>
              </w:rPr>
              <w:t>2.2.2.3</w:t>
            </w:r>
            <w:r>
              <w:rPr>
                <w:rFonts w:ascii="仿宋_GB2312" w:hAnsi="仿宋_GB2312" w:cs="仿宋_GB2312" w:eastAsia="仿宋_GB2312"/>
                <w:sz w:val="24"/>
                <w:b/>
              </w:rPr>
              <w:t>网站页面及栏目优化设计</w:t>
            </w:r>
          </w:p>
          <w:p>
            <w:pPr>
              <w:pStyle w:val="null3"/>
              <w:ind w:firstLine="480"/>
              <w:jc w:val="both"/>
            </w:pPr>
            <w:r>
              <w:rPr>
                <w:rFonts w:ascii="仿宋_GB2312" w:hAnsi="仿宋_GB2312" w:cs="仿宋_GB2312" w:eastAsia="仿宋_GB2312"/>
                <w:sz w:val="24"/>
              </w:rPr>
              <w:t>根据政务公开考核要求，进行网站页面及栏目的优化和调整，提供网站模板设计、专题设计和页面板块、布局及整体效果的设计、制作设计服务。</w:t>
            </w:r>
          </w:p>
          <w:p>
            <w:pPr>
              <w:pStyle w:val="null3"/>
              <w:ind w:left="705"/>
              <w:jc w:val="both"/>
              <w:outlineLvl w:val="3"/>
            </w:pPr>
            <w:r>
              <w:rPr>
                <w:rFonts w:ascii="仿宋_GB2312" w:hAnsi="仿宋_GB2312" w:cs="仿宋_GB2312" w:eastAsia="仿宋_GB2312"/>
                <w:sz w:val="24"/>
                <w:b/>
              </w:rPr>
              <w:t>2.2.2.4</w:t>
            </w:r>
            <w:r>
              <w:rPr>
                <w:rFonts w:ascii="仿宋_GB2312" w:hAnsi="仿宋_GB2312" w:cs="仿宋_GB2312" w:eastAsia="仿宋_GB2312"/>
                <w:sz w:val="24"/>
                <w:b/>
              </w:rPr>
              <w:t>纠错整改服务</w:t>
            </w:r>
          </w:p>
          <w:p>
            <w:pPr>
              <w:pStyle w:val="null3"/>
              <w:ind w:firstLine="480"/>
              <w:jc w:val="both"/>
            </w:pPr>
            <w:r>
              <w:rPr>
                <w:rFonts w:ascii="仿宋_GB2312" w:hAnsi="仿宋_GB2312" w:cs="仿宋_GB2312" w:eastAsia="仿宋_GB2312"/>
                <w:sz w:val="24"/>
              </w:rPr>
              <w:t>协助做好陕西省政府网站与政务新媒体监管平台反馈问题的整改工作；协助做好市政府政务公开办反馈问题的整改工作；协助做好网信部门反馈问题的整改工作；协助做好全国政府网站找错系统反馈的网站错误信息的纠错整改工作。</w:t>
            </w:r>
          </w:p>
          <w:p>
            <w:pPr>
              <w:pStyle w:val="null3"/>
              <w:ind w:left="705"/>
              <w:jc w:val="both"/>
              <w:outlineLvl w:val="3"/>
            </w:pPr>
            <w:r>
              <w:rPr>
                <w:rFonts w:ascii="仿宋_GB2312" w:hAnsi="仿宋_GB2312" w:cs="仿宋_GB2312" w:eastAsia="仿宋_GB2312"/>
                <w:sz w:val="24"/>
                <w:b/>
              </w:rPr>
              <w:t>2.2.2.5</w:t>
            </w:r>
            <w:r>
              <w:rPr>
                <w:rFonts w:ascii="仿宋_GB2312" w:hAnsi="仿宋_GB2312" w:cs="仿宋_GB2312" w:eastAsia="仿宋_GB2312"/>
                <w:sz w:val="24"/>
                <w:b/>
              </w:rPr>
              <w:t>网站专题策划与制作</w:t>
            </w:r>
          </w:p>
          <w:p>
            <w:pPr>
              <w:pStyle w:val="null3"/>
              <w:ind w:firstLine="480"/>
              <w:jc w:val="both"/>
            </w:pPr>
            <w:r>
              <w:rPr>
                <w:rFonts w:ascii="仿宋_GB2312" w:hAnsi="仿宋_GB2312" w:cs="仿宋_GB2312" w:eastAsia="仿宋_GB2312"/>
                <w:sz w:val="24"/>
              </w:rPr>
              <w:t>根据中省市要求及全区重点、热点工作需要，规划建设网站专题专栏，全年提供不少于</w:t>
            </w:r>
            <w:r>
              <w:rPr>
                <w:rFonts w:ascii="仿宋_GB2312" w:hAnsi="仿宋_GB2312" w:cs="仿宋_GB2312" w:eastAsia="仿宋_GB2312"/>
                <w:sz w:val="24"/>
              </w:rPr>
              <w:t>4个专栏专题制作服务。</w:t>
            </w:r>
          </w:p>
          <w:p>
            <w:pPr>
              <w:pStyle w:val="null3"/>
              <w:ind w:left="705"/>
              <w:jc w:val="both"/>
              <w:outlineLvl w:val="3"/>
            </w:pPr>
            <w:r>
              <w:rPr>
                <w:rFonts w:ascii="仿宋_GB2312" w:hAnsi="仿宋_GB2312" w:cs="仿宋_GB2312" w:eastAsia="仿宋_GB2312"/>
                <w:sz w:val="24"/>
                <w:b/>
              </w:rPr>
              <w:t>2.2.2.6</w:t>
            </w:r>
            <w:r>
              <w:rPr>
                <w:rFonts w:ascii="仿宋_GB2312" w:hAnsi="仿宋_GB2312" w:cs="仿宋_GB2312" w:eastAsia="仿宋_GB2312"/>
                <w:sz w:val="24"/>
                <w:b/>
              </w:rPr>
              <w:t>智能化平台服务</w:t>
            </w:r>
          </w:p>
          <w:p>
            <w:pPr>
              <w:pStyle w:val="null3"/>
              <w:ind w:firstLine="480"/>
              <w:jc w:val="both"/>
            </w:pPr>
            <w:r>
              <w:rPr>
                <w:rFonts w:ascii="仿宋_GB2312" w:hAnsi="仿宋_GB2312" w:cs="仿宋_GB2312" w:eastAsia="仿宋_GB2312"/>
                <w:sz w:val="24"/>
              </w:rPr>
              <w:t>采用自然语言处理、智能搜索、深度学习等技术，提供智能问答服务，具体包括意图识别、自动问答、办事问答、场景服务、知识库管理、数据统计报表等功能。同时，提供智能问答知识库梳理、更新、维护和训练等服务。</w:t>
            </w:r>
          </w:p>
          <w:p>
            <w:pPr>
              <w:pStyle w:val="null3"/>
              <w:ind w:left="705"/>
              <w:jc w:val="both"/>
              <w:outlineLvl w:val="3"/>
            </w:pPr>
            <w:r>
              <w:rPr>
                <w:rFonts w:ascii="仿宋_GB2312" w:hAnsi="仿宋_GB2312" w:cs="仿宋_GB2312" w:eastAsia="仿宋_GB2312"/>
                <w:sz w:val="24"/>
                <w:b/>
              </w:rPr>
              <w:t xml:space="preserve">2.2.2.7 </w:t>
            </w:r>
            <w:r>
              <w:rPr>
                <w:rFonts w:ascii="仿宋_GB2312" w:hAnsi="仿宋_GB2312" w:cs="仿宋_GB2312" w:eastAsia="仿宋_GB2312"/>
                <w:sz w:val="24"/>
                <w:b/>
              </w:rPr>
              <w:t>SSL</w:t>
            </w:r>
            <w:r>
              <w:rPr>
                <w:rFonts w:ascii="仿宋_GB2312" w:hAnsi="仿宋_GB2312" w:cs="仿宋_GB2312" w:eastAsia="仿宋_GB2312"/>
                <w:sz w:val="24"/>
                <w:b/>
              </w:rPr>
              <w:t>证书</w:t>
            </w:r>
          </w:p>
          <w:p>
            <w:pPr>
              <w:pStyle w:val="null3"/>
              <w:ind w:firstLine="480"/>
              <w:jc w:val="both"/>
            </w:pPr>
            <w:r>
              <w:rPr>
                <w:rFonts w:ascii="仿宋_GB2312" w:hAnsi="仿宋_GB2312" w:cs="仿宋_GB2312" w:eastAsia="仿宋_GB2312"/>
                <w:sz w:val="24"/>
              </w:rPr>
              <w:t>购买第三方</w:t>
            </w:r>
            <w:r>
              <w:rPr>
                <w:rFonts w:ascii="仿宋_GB2312" w:hAnsi="仿宋_GB2312" w:cs="仿宋_GB2312" w:eastAsia="仿宋_GB2312"/>
                <w:sz w:val="24"/>
              </w:rPr>
              <w:t>SSL</w:t>
            </w:r>
            <w:r>
              <w:rPr>
                <w:rFonts w:ascii="仿宋_GB2312" w:hAnsi="仿宋_GB2312" w:cs="仿宋_GB2312" w:eastAsia="仿宋_GB2312"/>
                <w:sz w:val="24"/>
              </w:rPr>
              <w:t>证书服务，实现网站的身份验证和数据传输加密功能。</w:t>
            </w:r>
          </w:p>
          <w:p>
            <w:pPr>
              <w:pStyle w:val="null3"/>
              <w:ind w:left="705"/>
              <w:jc w:val="both"/>
              <w:outlineLvl w:val="2"/>
            </w:pPr>
            <w:r>
              <w:rPr>
                <w:rFonts w:ascii="仿宋_GB2312" w:hAnsi="仿宋_GB2312" w:cs="仿宋_GB2312" w:eastAsia="仿宋_GB2312"/>
                <w:sz w:val="24"/>
                <w:b/>
              </w:rPr>
              <w:t>2.2.3</w:t>
            </w:r>
            <w:r>
              <w:rPr>
                <w:rFonts w:ascii="仿宋_GB2312" w:hAnsi="仿宋_GB2312" w:cs="仿宋_GB2312" w:eastAsia="仿宋_GB2312"/>
                <w:sz w:val="24"/>
                <w:b/>
              </w:rPr>
              <w:t>政府网站监测服务</w:t>
            </w:r>
          </w:p>
          <w:p>
            <w:pPr>
              <w:pStyle w:val="null3"/>
              <w:ind w:left="705"/>
              <w:jc w:val="both"/>
              <w:outlineLvl w:val="3"/>
            </w:pPr>
            <w:r>
              <w:rPr>
                <w:rFonts w:ascii="仿宋_GB2312" w:hAnsi="仿宋_GB2312" w:cs="仿宋_GB2312" w:eastAsia="仿宋_GB2312"/>
                <w:sz w:val="24"/>
                <w:b/>
              </w:rPr>
              <w:t>2.2.3.1</w:t>
            </w:r>
            <w:r>
              <w:rPr>
                <w:rFonts w:ascii="仿宋_GB2312" w:hAnsi="仿宋_GB2312" w:cs="仿宋_GB2312" w:eastAsia="仿宋_GB2312"/>
                <w:sz w:val="24"/>
                <w:b/>
              </w:rPr>
              <w:t>政府网站日常巡检</w:t>
            </w:r>
          </w:p>
          <w:p>
            <w:pPr>
              <w:pStyle w:val="null3"/>
              <w:ind w:firstLine="480"/>
              <w:jc w:val="both"/>
            </w:pPr>
            <w:r>
              <w:rPr>
                <w:rFonts w:ascii="仿宋_GB2312" w:hAnsi="仿宋_GB2312" w:cs="仿宋_GB2312" w:eastAsia="仿宋_GB2312"/>
                <w:sz w:val="24"/>
              </w:rPr>
              <w:t>采用监测系统对首页可用性、链接可用性、错敏词等进行扫描监测，及时发现站点无法访问、严重错误表述、敏感词、涉嫌泄漏个人隐私信息、错断链等问题，出具问题清单。</w:t>
            </w:r>
          </w:p>
          <w:p>
            <w:pPr>
              <w:pStyle w:val="null3"/>
              <w:ind w:left="705"/>
              <w:jc w:val="both"/>
              <w:outlineLvl w:val="3"/>
            </w:pPr>
            <w:r>
              <w:rPr>
                <w:rFonts w:ascii="仿宋_GB2312" w:hAnsi="仿宋_GB2312" w:cs="仿宋_GB2312" w:eastAsia="仿宋_GB2312"/>
                <w:sz w:val="24"/>
                <w:b/>
              </w:rPr>
              <w:t>2.2.3.2</w:t>
            </w:r>
            <w:r>
              <w:rPr>
                <w:rFonts w:ascii="仿宋_GB2312" w:hAnsi="仿宋_GB2312" w:cs="仿宋_GB2312" w:eastAsia="仿宋_GB2312"/>
                <w:sz w:val="24"/>
                <w:b/>
              </w:rPr>
              <w:t>政府网站季度检查</w:t>
            </w:r>
          </w:p>
          <w:p>
            <w:pPr>
              <w:pStyle w:val="null3"/>
              <w:ind w:firstLine="480"/>
              <w:jc w:val="both"/>
            </w:pPr>
            <w:r>
              <w:rPr>
                <w:rFonts w:ascii="仿宋_GB2312" w:hAnsi="仿宋_GB2312" w:cs="仿宋_GB2312" w:eastAsia="仿宋_GB2312"/>
                <w:sz w:val="24"/>
              </w:rPr>
              <w:t>参照国办《政府网站与政务新媒体检查指标》，采取系统扫描与人工检查相结合方式，按季度对政府网站从单项否决、发布解读、办事服务、互动交流、功能设计等方面进行监测，及时发现栏目更新不及时、服务不实用、答复不及时、页面不规范等主要问题和不足，按季度出具监测报告。</w:t>
            </w:r>
          </w:p>
          <w:p>
            <w:pPr>
              <w:pStyle w:val="null3"/>
              <w:ind w:left="705"/>
              <w:jc w:val="both"/>
              <w:outlineLvl w:val="2"/>
            </w:pPr>
            <w:r>
              <w:rPr>
                <w:rFonts w:ascii="仿宋_GB2312" w:hAnsi="仿宋_GB2312" w:cs="仿宋_GB2312" w:eastAsia="仿宋_GB2312"/>
                <w:sz w:val="24"/>
                <w:b/>
              </w:rPr>
              <w:t>2.2.4</w:t>
            </w:r>
            <w:r>
              <w:rPr>
                <w:rFonts w:ascii="仿宋_GB2312" w:hAnsi="仿宋_GB2312" w:cs="仿宋_GB2312" w:eastAsia="仿宋_GB2312"/>
                <w:sz w:val="24"/>
                <w:b/>
              </w:rPr>
              <w:t>政务新媒体监测服务</w:t>
            </w:r>
          </w:p>
          <w:p>
            <w:pPr>
              <w:pStyle w:val="null3"/>
              <w:ind w:left="705"/>
              <w:jc w:val="both"/>
              <w:outlineLvl w:val="3"/>
            </w:pPr>
            <w:r>
              <w:rPr>
                <w:rFonts w:ascii="仿宋_GB2312" w:hAnsi="仿宋_GB2312" w:cs="仿宋_GB2312" w:eastAsia="仿宋_GB2312"/>
                <w:sz w:val="24"/>
                <w:b/>
              </w:rPr>
              <w:t>2.2.4.1</w:t>
            </w:r>
            <w:r>
              <w:rPr>
                <w:rFonts w:ascii="仿宋_GB2312" w:hAnsi="仿宋_GB2312" w:cs="仿宋_GB2312" w:eastAsia="仿宋_GB2312"/>
                <w:sz w:val="24"/>
                <w:b/>
              </w:rPr>
              <w:t>政务新媒体日常监测</w:t>
            </w:r>
          </w:p>
          <w:p>
            <w:pPr>
              <w:pStyle w:val="null3"/>
              <w:ind w:firstLine="480"/>
              <w:jc w:val="both"/>
            </w:pPr>
            <w:r>
              <w:rPr>
                <w:rFonts w:ascii="仿宋_GB2312" w:hAnsi="仿宋_GB2312" w:cs="仿宋_GB2312" w:eastAsia="仿宋_GB2312"/>
                <w:sz w:val="24"/>
              </w:rPr>
              <w:t>对每日增量发布信息进行系统扫描监测，对监测所发现的错敏词、错断链、首页长期不更新等问题核实后，出具问题清单。</w:t>
            </w:r>
          </w:p>
          <w:p>
            <w:pPr>
              <w:pStyle w:val="null3"/>
              <w:ind w:left="705"/>
              <w:jc w:val="both"/>
              <w:outlineLvl w:val="3"/>
            </w:pPr>
            <w:r>
              <w:rPr>
                <w:rFonts w:ascii="仿宋_GB2312" w:hAnsi="仿宋_GB2312" w:cs="仿宋_GB2312" w:eastAsia="仿宋_GB2312"/>
                <w:sz w:val="24"/>
                <w:b/>
              </w:rPr>
              <w:t>2.2.4.2</w:t>
            </w:r>
            <w:r>
              <w:rPr>
                <w:rFonts w:ascii="仿宋_GB2312" w:hAnsi="仿宋_GB2312" w:cs="仿宋_GB2312" w:eastAsia="仿宋_GB2312"/>
                <w:sz w:val="24"/>
                <w:b/>
              </w:rPr>
              <w:t>政务新媒体季度检查</w:t>
            </w:r>
          </w:p>
          <w:p>
            <w:pPr>
              <w:pStyle w:val="null3"/>
              <w:ind w:firstLine="480"/>
              <w:jc w:val="both"/>
            </w:pPr>
            <w:r>
              <w:rPr>
                <w:rFonts w:ascii="仿宋_GB2312" w:hAnsi="仿宋_GB2312" w:cs="仿宋_GB2312" w:eastAsia="仿宋_GB2312"/>
                <w:sz w:val="24"/>
              </w:rPr>
              <w:t>参照国办《政府网站与政务新媒体检查指标》，采取系统扫描与人工检查相结合方式，对政务新媒体严重表述错误、内容更新不及时和主要栏目应更新但长期不更新、未提供有效互动功能等进行监测，按季度出具检查报告。</w:t>
            </w:r>
          </w:p>
          <w:p>
            <w:pPr>
              <w:pStyle w:val="null3"/>
              <w:ind w:left="705"/>
              <w:jc w:val="both"/>
              <w:outlineLvl w:val="2"/>
            </w:pPr>
            <w:r>
              <w:rPr>
                <w:rFonts w:ascii="仿宋_GB2312" w:hAnsi="仿宋_GB2312" w:cs="仿宋_GB2312" w:eastAsia="仿宋_GB2312"/>
                <w:sz w:val="24"/>
                <w:b/>
              </w:rPr>
              <w:t>2.2.5</w:t>
            </w:r>
            <w:r>
              <w:rPr>
                <w:rFonts w:ascii="仿宋_GB2312" w:hAnsi="仿宋_GB2312" w:cs="仿宋_GB2312" w:eastAsia="仿宋_GB2312"/>
                <w:sz w:val="24"/>
                <w:b/>
              </w:rPr>
              <w:t>驻场运维服务</w:t>
            </w:r>
          </w:p>
          <w:p>
            <w:pPr>
              <w:pStyle w:val="null3"/>
              <w:ind w:firstLine="480"/>
              <w:jc w:val="both"/>
            </w:pPr>
            <w:r>
              <w:rPr>
                <w:rFonts w:ascii="仿宋_GB2312" w:hAnsi="仿宋_GB2312" w:cs="仿宋_GB2312" w:eastAsia="仿宋_GB2312"/>
                <w:sz w:val="24"/>
              </w:rPr>
              <w:t>提供工程师驻场运维服务。根据客户要求提供网站内容采编与维护管理、网站日常检查、网站错敏信息修改、网站断错链修改、网站问题整改跟踪、需求收集与反馈、数据统计与报表、</w:t>
            </w:r>
            <w:r>
              <w:rPr>
                <w:rFonts w:ascii="仿宋_GB2312" w:hAnsi="仿宋_GB2312" w:cs="仿宋_GB2312" w:eastAsia="仿宋_GB2312"/>
                <w:sz w:val="24"/>
              </w:rPr>
              <w:t>留言处理等服务。</w:t>
            </w:r>
          </w:p>
          <w:p>
            <w:pPr>
              <w:pStyle w:val="null3"/>
              <w:ind w:left="705"/>
              <w:jc w:val="both"/>
              <w:outlineLvl w:val="1"/>
            </w:pPr>
            <w:r>
              <w:rPr>
                <w:rFonts w:ascii="仿宋_GB2312" w:hAnsi="仿宋_GB2312" w:cs="仿宋_GB2312" w:eastAsia="仿宋_GB2312"/>
                <w:sz w:val="24"/>
                <w:b/>
              </w:rPr>
              <w:t>2.3</w:t>
            </w:r>
            <w:r>
              <w:rPr>
                <w:rFonts w:ascii="仿宋_GB2312" w:hAnsi="仿宋_GB2312" w:cs="仿宋_GB2312" w:eastAsia="仿宋_GB2312"/>
                <w:sz w:val="24"/>
                <w:b/>
              </w:rPr>
              <w:t>其他要求</w:t>
            </w:r>
          </w:p>
          <w:p>
            <w:pPr>
              <w:pStyle w:val="null3"/>
              <w:ind w:left="705"/>
              <w:jc w:val="both"/>
              <w:outlineLvl w:val="2"/>
            </w:pPr>
            <w:r>
              <w:rPr>
                <w:rFonts w:ascii="仿宋_GB2312" w:hAnsi="仿宋_GB2312" w:cs="仿宋_GB2312" w:eastAsia="仿宋_GB2312"/>
                <w:sz w:val="24"/>
                <w:b/>
              </w:rPr>
              <w:t>2.3.1</w:t>
            </w:r>
            <w:r>
              <w:rPr>
                <w:rFonts w:ascii="仿宋_GB2312" w:hAnsi="仿宋_GB2312" w:cs="仿宋_GB2312" w:eastAsia="仿宋_GB2312"/>
                <w:sz w:val="24"/>
                <w:b/>
              </w:rPr>
              <w:t>技术要求</w:t>
            </w:r>
          </w:p>
          <w:p>
            <w:pPr>
              <w:pStyle w:val="null3"/>
              <w:ind w:firstLine="480"/>
              <w:jc w:val="both"/>
            </w:pPr>
            <w:r>
              <w:rPr>
                <w:rFonts w:ascii="仿宋_GB2312" w:hAnsi="仿宋_GB2312" w:cs="仿宋_GB2312" w:eastAsia="仿宋_GB2312"/>
                <w:sz w:val="24"/>
              </w:rPr>
              <w:t>雁塔区政府网站及政务新媒体运维监测服务要基于</w:t>
            </w:r>
            <w:r>
              <w:rPr>
                <w:rFonts w:ascii="仿宋_GB2312" w:hAnsi="仿宋_GB2312" w:cs="仿宋_GB2312" w:eastAsia="仿宋_GB2312"/>
                <w:sz w:val="24"/>
              </w:rPr>
              <w:t>“西安市政府网站集约化平台”进行实施，需熟悉西安市政府网站集约化平台功能架构、部署实施、开发环境等。</w:t>
            </w:r>
          </w:p>
          <w:p>
            <w:pPr>
              <w:pStyle w:val="null3"/>
              <w:ind w:left="705"/>
              <w:jc w:val="both"/>
              <w:outlineLvl w:val="2"/>
            </w:pPr>
            <w:r>
              <w:rPr>
                <w:rFonts w:ascii="仿宋_GB2312" w:hAnsi="仿宋_GB2312" w:cs="仿宋_GB2312" w:eastAsia="仿宋_GB2312"/>
                <w:sz w:val="24"/>
                <w:b/>
              </w:rPr>
              <w:t>2.3.2</w:t>
            </w:r>
            <w:r>
              <w:rPr>
                <w:rFonts w:ascii="仿宋_GB2312" w:hAnsi="仿宋_GB2312" w:cs="仿宋_GB2312" w:eastAsia="仿宋_GB2312"/>
                <w:sz w:val="24"/>
                <w:b/>
              </w:rPr>
              <w:t>运维服务要求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1）服务周期1年。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2）明确承诺服务响应 7*24 小时电话服务，半小时内做出明确响应和安排，1 小时内到达现场，2 小时内做出相应的故障或责任判断，并协助采购人处理后继事宜。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3）须详细说明实施本项目拟采用的团队组织方法和具体项目组织机构，保证在此项目服务期间有足够的人力投入和人员的质量。</w:t>
            </w:r>
          </w:p>
          <w:p>
            <w:pPr>
              <w:pStyle w:val="null3"/>
              <w:ind w:left="705"/>
              <w:jc w:val="both"/>
              <w:outlineLvl w:val="2"/>
            </w:pPr>
            <w:r>
              <w:rPr>
                <w:rFonts w:ascii="仿宋_GB2312" w:hAnsi="仿宋_GB2312" w:cs="仿宋_GB2312" w:eastAsia="仿宋_GB2312"/>
                <w:sz w:val="24"/>
                <w:b/>
              </w:rPr>
              <w:t>2.3.3</w:t>
            </w:r>
            <w:r>
              <w:rPr>
                <w:rFonts w:ascii="仿宋_GB2312" w:hAnsi="仿宋_GB2312" w:cs="仿宋_GB2312" w:eastAsia="仿宋_GB2312"/>
                <w:sz w:val="24"/>
                <w:b/>
              </w:rPr>
              <w:t>质量保证要求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1）符合国家有关规范要求，确保项目完成后网站达到最佳运行状态。</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必须按照项目质量管理和质量保证体系，提出具体措施，确保项目服务质量。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成交供应商应保证采购人在使用所涉技术方案或其任何一部分技术资料时，免受第三方提出侵犯其专利权、商标权或工业设计权等知识产权的起诉。如果发生诉讼，所有费用和责任由成交供应商承担。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国家相应的标准和规范，满足采购人要求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进度款，合同签订并收到成交供应商开具的发票后，满足正常运维服务30日且初期绩效评价合格后 ，达到付款条件起15个工作日内，支付合同总金额的40.0%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进度款，供应商提供运维服务满6个月且中期绩效评价合格后，达到付款条件起15个工作日内，支付合同总金额的45.0%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进度款，供应商提供运维服务履行完毕且终期绩效评价合格后，达到付款条件起15个工作日内，支付合同总金额的15.0%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双方在履行合同过程中，若发生争议，可以协商解决。如协商未果，双方向采购人所在地人民法院提起诉讼。乙方如果没有按照本合同约定履行合同，甲方有权终止合同。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1、采购人、采购代理机构应严格按照《财政部关于进一步规范政府采购评审工作有关问题的通知》（财库〔2012〕69 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1.主观分总分值在 15 分以下的，评审专家主观分评分偏离全体评委对应主观分平均分 20%以上（含本数）；2.主观分总分值在 15 分（含）至 30 分的，评审专家主观分评分偏离全体评委对应主观分平均分 15%以上（含本数）；3.主观分总分值在 30 分（含）以上的，评审专家主观分评分偏离全体评委对应主观分平均分 10%以上（含本数）。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如评审专家未确认属于畸高、畸低情形且未提供充分、合理理由，对该评审专家不予支付评审劳务报酬。2、为顺利推进政府采购电子化交易平台应用工作，中标（成交）通知书发出后，中标（成交）供应商须提供胶装后纸质投标（响应）文件贰套交由采购代理机构留存，且提供的纸质投标（响应）文件必须与在陕西省政府采购网电子化交易系统上传提交的电子投标（响应）文件内容一致。(黑白双面打印，需在首页和骑缝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 2、税收缴纳证明：提供响应文件截止时间前6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证明不能作为税收缴纳证明。 3、社会保障资金缴纳证明：提供响应文件截止时间前6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 4、具有履行合同所必需的设备和专业技术能力的说明及承诺（提供相应承诺）。 5、提供参加本次政府采购活动前三年内在经营活动中没有重大违法记录的书面声明。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不接受联合体磋商（提供相应承诺）；供应商需在项目电子化交易系统中按要求上传相应证明文件并进行电子签章。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支付方式符合磋商文件要求；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服务期限符合磋商文件要求；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1、报价唯一；2、报价货币符合磋商文件要求；3、未超出磋商文件规定的采购预算或最高限价。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是否符合法律、法规和磋商文件中规定的其他实质性要求。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标的清单 报价表 拒绝商业贿赂承诺书.docx 商务应答表.docx 服务内容及服务要求应答表.docx 响应函 法定代表人授权委托书.docx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对本次服务背景的理解</w:t>
            </w:r>
          </w:p>
        </w:tc>
        <w:tc>
          <w:tcPr>
            <w:tcW w:type="dxa" w:w="2492"/>
          </w:tcPr>
          <w:p>
            <w:pPr>
              <w:pStyle w:val="null3"/>
            </w:pPr>
            <w:r>
              <w:rPr>
                <w:rFonts w:ascii="仿宋_GB2312" w:hAnsi="仿宋_GB2312" w:cs="仿宋_GB2312" w:eastAsia="仿宋_GB2312"/>
              </w:rPr>
              <w:t>基于“西安市政府网站集约化平台”开展网站及政务新媒体运维监测服务工作，因此，需熟悉“西安市政府网站集约化平台”，并提供平台①开发环境和功能架构；②实施部署情况等内容。每一项内容描述详细，切实可行符合项目实际内容得4分，最高得8分。以上内容每缺1项扣4分；每项内容有一处缺陷扣1分，未提供不得分。（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对本次服务背景的理解.docx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①政务公开建设服务；②区政府门户网站运维及监测提升服务；③政府网站监测服务；④政务新媒体监测服务；⑤驻场运维服务。每一项内容描述详细，切实可行符合项目实际内容得4分，最高得20分。以上内容每缺1项扣4分；每有一项内容缺陷扣1分，未提供不得分。（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根据供应商提供的①服务质量保证措施；②安全保密措施；③故障处理响应时间；④突发应急措施。评审依据：每一项内容描述详细，切实可行符合项目实际内容得3分，最高得12分。以上内容任意一项缺项扣3分；每项内容有1处缺陷扣0.5分，未提供不得分。（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服务保障措施.docx</w:t>
            </w:r>
          </w:p>
        </w:tc>
      </w:tr>
      <w:tr>
        <w:tc>
          <w:tcPr>
            <w:tcW w:type="dxa" w:w="831"/>
            <w:vMerge/>
          </w:tcPr>
          <w:p/>
        </w:tc>
        <w:tc>
          <w:tcPr>
            <w:tcW w:type="dxa" w:w="1661"/>
          </w:tcPr>
          <w:p>
            <w:pPr>
              <w:pStyle w:val="null3"/>
            </w:pPr>
            <w:r>
              <w:rPr>
                <w:rFonts w:ascii="仿宋_GB2312" w:hAnsi="仿宋_GB2312" w:cs="仿宋_GB2312" w:eastAsia="仿宋_GB2312"/>
              </w:rPr>
              <w:t>项目管理团队人员</w:t>
            </w:r>
          </w:p>
        </w:tc>
        <w:tc>
          <w:tcPr>
            <w:tcW w:type="dxa" w:w="2492"/>
          </w:tcPr>
          <w:p>
            <w:pPr>
              <w:pStyle w:val="null3"/>
            </w:pPr>
            <w:r>
              <w:rPr>
                <w:rFonts w:ascii="仿宋_GB2312" w:hAnsi="仿宋_GB2312" w:cs="仿宋_GB2312" w:eastAsia="仿宋_GB2312"/>
              </w:rPr>
              <w:t>根据供应商提供的为保障项目质量以及服务的稳定性，投入的团队人员需不少于6人，其中：驻场服务人员不少于1人，满足上述基本要求得6分，不满足基本要求该项不得分；满足基本要求且每增加1名专业人员加1分，最高得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项目管理团队人员.docx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提供包括网站群管理、或内容管理、或信息发布、或信息公开、或运维监管、或智能问答等网站相关软件产品著作权证书的，每提供一个符合要求的证书得2分（以上内容不重复计分），最高得12分，未提供不得分。（注：证明材料为相关证书复印件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其他</w:t>
            </w:r>
          </w:p>
        </w:tc>
        <w:tc>
          <w:tcPr>
            <w:tcW w:type="dxa" w:w="2492"/>
          </w:tcPr>
          <w:p>
            <w:pPr>
              <w:pStyle w:val="null3"/>
            </w:pPr>
            <w:r>
              <w:rPr>
                <w:rFonts w:ascii="仿宋_GB2312" w:hAnsi="仿宋_GB2312" w:cs="仿宋_GB2312" w:eastAsia="仿宋_GB2312"/>
              </w:rPr>
              <w:t>供应商具有ISO27001信息安全管理体系认证或DCMM数据管理能力成熟度认证证书的，每提供1个符合要求的证书得3分，最高得6分，未提供不得分（以上内容不重复计分）。（注：证明材料为证书复印件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合同签订时间为准）至响应文件递交截止时间止完成过的类似（网站运维或监测项目）服务业绩，每提供一个符合要求的合同得3分，最高得18分，未提供不得分。（注：业绩以加盖供应商公章的合同协议书的复印件（或扫描件）为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详见附件：对本次服务背景的理解.docx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详见附件：服务保障措施.docx</w:t>
      </w:r>
    </w:p>
    <w:p>
      <w:pPr>
        <w:pStyle w:val="null3"/>
        <w:ind w:firstLine="960"/>
      </w:pPr>
      <w:r>
        <w:rPr>
          <w:rFonts w:ascii="仿宋_GB2312" w:hAnsi="仿宋_GB2312" w:cs="仿宋_GB2312" w:eastAsia="仿宋_GB2312"/>
        </w:rPr>
        <w:t>详见附件：项目管理团队人员.docx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详见附件：技术服务合同（模板）.docx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