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版本号：政采-大荔县-2026-0014520260730002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大荔县2026年特殊困难群众救助物资采购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政采-大荔县-2026-00145</w:t>
      </w:r>
      <w:r>
        <w:br/>
      </w:r>
      <w:r>
        <w:br/>
      </w:r>
      <w:r>
        <w:br/>
      </w:r>
    </w:p>
    <w:p>
      <w:pPr>
        <w:pStyle w:val="null3"/>
        <w:jc w:val="center"/>
        <w:outlineLvl w:val="2"/>
      </w:pPr>
      <w:r>
        <w:rPr>
          <w:rFonts w:ascii="仿宋_GB2312" w:hAnsi="仿宋_GB2312" w:cs="仿宋_GB2312" w:eastAsia="仿宋_GB2312"/>
          <w:sz w:val="28"/>
          <w:b/>
        </w:rPr>
        <w:t>大荔县民政局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大荔县民政局</w:t>
      </w:r>
      <w:r>
        <w:rPr>
          <w:rFonts w:ascii="仿宋_GB2312" w:hAnsi="仿宋_GB2312" w:cs="仿宋_GB2312" w:eastAsia="仿宋_GB2312"/>
        </w:rPr>
        <w:t>委托，拟对</w:t>
      </w:r>
      <w:r>
        <w:rPr>
          <w:rFonts w:ascii="仿宋_GB2312" w:hAnsi="仿宋_GB2312" w:cs="仿宋_GB2312" w:eastAsia="仿宋_GB2312"/>
        </w:rPr>
        <w:t>大荔县2026年特殊困难群众救助物资采购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政采-大荔县-2026-00145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大荔县2026年特殊困难群众救助物资采购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采购一批特殊困难群众救助物资，精准保障特困人员、低保对象中特殊困难群体的基本生活需求。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控股、管理关系：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大荔县富民路8号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0913-3222148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马玺杰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19991640961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大荔县民政局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大荔县民政局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主体：在供应商履约结束后，由采购人组织验收，验收工作小组由3人以上单数组成，按照职责分工对照政府采购合同中验收有关事项和标准核对每项验收事项，并按照验收方案应及时组织验收；2.验收方法：数量与包装、质量合规、适用性确认；3.验收程序：组织履约：采购人按照政府采购合同组织履约验收；组建验收工作小组：采购人负责组织履约验收，邀请相关部门参加验收，并确定验收结果；组织验收：供应商应当严格按合同约定的内容全部完成，并对相关资料进行认真整理，做好验收准备；出具验收报告：采购人根据验收工作小组验收合格的意见，核对无误后签字确认，并出具验收报告。 4.验收内容：包含采购清单全部内容；5.验收阶段：供应商按合同约定内容完成供货，由采购人组织履约验收时间；6.验收标准：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联系人：马玺杰</w:t>
      </w:r>
    </w:p>
    <w:p>
      <w:pPr>
        <w:pStyle w:val="null3"/>
      </w:pPr>
      <w:r>
        <w:rPr>
          <w:rFonts w:ascii="仿宋_GB2312" w:hAnsi="仿宋_GB2312" w:cs="仿宋_GB2312" w:eastAsia="仿宋_GB2312"/>
        </w:rPr>
        <w:t>联系电话：19991640961</w:t>
      </w:r>
    </w:p>
    <w:p>
      <w:pPr>
        <w:pStyle w:val="null3"/>
      </w:pPr>
      <w:r>
        <w:rPr>
          <w:rFonts w:ascii="仿宋_GB2312" w:hAnsi="仿宋_GB2312" w:cs="仿宋_GB2312" w:eastAsia="仿宋_GB2312"/>
        </w:rPr>
        <w:t>地址：陕西省西安市未央区26明光路附近长和国际D座26层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采购一批特殊困难群众救助物资，精准保障特困人员、低保对象中特殊困难群体的基本生活需求。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大荔县2026年特殊困难群众救助物资采购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零售业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标的名称：大荔县2026年特殊困难群众救助物资采购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一、PVC杯子：1100个，规格：1800ml</w:t>
            </w:r>
          </w:p>
          <w:p>
            <w:pPr>
              <w:pStyle w:val="null3"/>
            </w:pPr>
            <w:r>
              <w:rPr>
                <w:rFonts w:ascii="仿宋_GB2312" w:hAnsi="仿宋_GB2312" w:cs="仿宋_GB2312" w:eastAsia="仿宋_GB2312"/>
              </w:rPr>
              <w:t>1.材质：食品级PP塑料，无毒无味</w:t>
            </w:r>
            <w:r>
              <w:br/>
            </w:r>
            <w:r>
              <w:rPr>
                <w:rFonts w:ascii="仿宋_GB2312" w:hAnsi="仿宋_GB2312" w:cs="仿宋_GB2312" w:eastAsia="仿宋_GB2312"/>
              </w:rPr>
              <w:t xml:space="preserve"> ▲2.执行标准：GB 4806.7-2023</w:t>
            </w:r>
            <w:r>
              <w:br/>
            </w:r>
            <w:r>
              <w:rPr>
                <w:rFonts w:ascii="仿宋_GB2312" w:hAnsi="仿宋_GB2312" w:cs="仿宋_GB2312" w:eastAsia="仿宋_GB2312"/>
              </w:rPr>
              <w:t xml:space="preserve"> 3.外观：杯体光滑无毛刺、无变形、无气泡</w:t>
            </w:r>
            <w:r>
              <w:br/>
            </w:r>
            <w:r>
              <w:rPr>
                <w:rFonts w:ascii="仿宋_GB2312" w:hAnsi="仿宋_GB2312" w:cs="仿宋_GB2312" w:eastAsia="仿宋_GB2312"/>
              </w:rPr>
              <w:t xml:space="preserve"> 4.总迁移量≤10 mg/dm²</w:t>
            </w:r>
          </w:p>
          <w:p>
            <w:pPr>
              <w:pStyle w:val="null3"/>
            </w:pPr>
            <w:r>
              <w:rPr>
                <w:rFonts w:ascii="仿宋_GB2312" w:hAnsi="仿宋_GB2312" w:cs="仿宋_GB2312" w:eastAsia="仿宋_GB2312"/>
              </w:rPr>
              <w:t>二、洗衣粉：1100袋（核心产品）</w:t>
            </w:r>
          </w:p>
          <w:p>
            <w:pPr>
              <w:pStyle w:val="null3"/>
            </w:pPr>
            <w:r>
              <w:rPr>
                <w:rFonts w:ascii="仿宋_GB2312" w:hAnsi="仿宋_GB2312" w:cs="仿宋_GB2312" w:eastAsia="仿宋_GB2312"/>
              </w:rPr>
              <w:t>1.执行标准：GB/T 13171.1-2022 WL-A型</w:t>
            </w:r>
          </w:p>
          <w:p>
            <w:pPr>
              <w:pStyle w:val="null3"/>
            </w:pPr>
            <w:r>
              <w:rPr>
                <w:rFonts w:ascii="仿宋_GB2312" w:hAnsi="仿宋_GB2312" w:cs="仿宋_GB2312" w:eastAsia="仿宋_GB2312"/>
              </w:rPr>
              <w:t>▲2.总活性物含量：≥11%</w:t>
            </w:r>
          </w:p>
          <w:p>
            <w:pPr>
              <w:pStyle w:val="null3"/>
            </w:pPr>
            <w:r>
              <w:rPr>
                <w:rFonts w:ascii="仿宋_GB2312" w:hAnsi="仿宋_GB2312" w:cs="仿宋_GB2312" w:eastAsia="仿宋_GB2312"/>
              </w:rPr>
              <w:t>3.类型：无磷洗衣粉，总五氧化二磷≤0.5%</w:t>
            </w:r>
          </w:p>
          <w:p>
            <w:pPr>
              <w:pStyle w:val="null3"/>
            </w:pPr>
            <w:r>
              <w:rPr>
                <w:rFonts w:ascii="仿宋_GB2312" w:hAnsi="仿宋_GB2312" w:cs="仿宋_GB2312" w:eastAsia="仿宋_GB2312"/>
              </w:rPr>
              <w:t>4.净含量：5kg/袋</w:t>
            </w:r>
          </w:p>
          <w:p>
            <w:pPr>
              <w:pStyle w:val="null3"/>
            </w:pPr>
            <w:r>
              <w:rPr>
                <w:rFonts w:ascii="仿宋_GB2312" w:hAnsi="仿宋_GB2312" w:cs="仿宋_GB2312" w:eastAsia="仿宋_GB2312"/>
              </w:rPr>
              <w:t>5.功能：深层去污、冷水速溶、持久留香</w:t>
            </w:r>
          </w:p>
          <w:p>
            <w:pPr>
              <w:pStyle w:val="null3"/>
            </w:pPr>
            <w:r>
              <w:rPr>
                <w:rFonts w:ascii="仿宋_GB2312" w:hAnsi="仿宋_GB2312" w:cs="仿宋_GB2312" w:eastAsia="仿宋_GB2312"/>
              </w:rPr>
              <w:t>6.pH值：≤10.5</w:t>
            </w:r>
          </w:p>
          <w:p>
            <w:pPr>
              <w:pStyle w:val="null3"/>
            </w:pPr>
            <w:r>
              <w:rPr>
                <w:rFonts w:ascii="仿宋_GB2312" w:hAnsi="仿宋_GB2312" w:cs="仿宋_GB2312" w:eastAsia="仿宋_GB2312"/>
              </w:rPr>
              <w:t>三、凉席：1100个</w:t>
            </w:r>
          </w:p>
          <w:p>
            <w:pPr>
              <w:pStyle w:val="null3"/>
            </w:pPr>
            <w:r>
              <w:rPr>
                <w:rFonts w:ascii="仿宋_GB2312" w:hAnsi="仿宋_GB2312" w:cs="仿宋_GB2312" w:eastAsia="仿宋_GB2312"/>
              </w:rPr>
              <w:t>1.尺寸规格：120cm×190cm ±2cm</w:t>
            </w:r>
            <w:r>
              <w:br/>
            </w:r>
            <w:r>
              <w:rPr>
                <w:rFonts w:ascii="仿宋_GB2312" w:hAnsi="仿宋_GB2312" w:cs="仿宋_GB2312" w:eastAsia="仿宋_GB2312"/>
              </w:rPr>
              <w:t xml:space="preserve"> 2.材质：冰藤/冰丝面料，高密度编织，反面防滑设计</w:t>
            </w:r>
          </w:p>
          <w:p>
            <w:pPr>
              <w:pStyle w:val="null3"/>
            </w:pPr>
            <w:r>
              <w:rPr>
                <w:rFonts w:ascii="仿宋_GB2312" w:hAnsi="仿宋_GB2312" w:cs="仿宋_GB2312" w:eastAsia="仿宋_GB2312"/>
              </w:rPr>
              <w:t>▲3.执行标准：GB 18401-2010 B类</w:t>
            </w:r>
            <w:r>
              <w:br/>
            </w:r>
            <w:r>
              <w:rPr>
                <w:rFonts w:ascii="仿宋_GB2312" w:hAnsi="仿宋_GB2312" w:cs="仿宋_GB2312" w:eastAsia="仿宋_GB2312"/>
              </w:rPr>
              <w:t xml:space="preserve"> 4.工艺：加宽包边，可折叠收纳</w:t>
            </w:r>
            <w:r>
              <w:br/>
            </w:r>
            <w:r>
              <w:rPr>
                <w:rFonts w:ascii="仿宋_GB2312" w:hAnsi="仿宋_GB2312" w:cs="仿宋_GB2312" w:eastAsia="仿宋_GB2312"/>
              </w:rPr>
              <w:t xml:space="preserve"> 5.特点：凉而不冰，透气散热，表面光滑无毛刺</w:t>
            </w:r>
          </w:p>
          <w:p>
            <w:pPr>
              <w:pStyle w:val="null3"/>
            </w:pPr>
            <w:r>
              <w:rPr>
                <w:rFonts w:ascii="仿宋_GB2312" w:hAnsi="仿宋_GB2312" w:cs="仿宋_GB2312" w:eastAsia="仿宋_GB2312"/>
              </w:rPr>
              <w:t>四、毛巾：1100条</w:t>
            </w:r>
          </w:p>
          <w:p>
            <w:pPr>
              <w:pStyle w:val="null3"/>
            </w:pPr>
            <w:r>
              <w:rPr>
                <w:rFonts w:ascii="仿宋_GB2312" w:hAnsi="仿宋_GB2312" w:cs="仿宋_GB2312" w:eastAsia="仿宋_GB2312"/>
              </w:rPr>
              <w:t>1.执行标准：GB31701-2015（A类）GB/T 22864-2020 一等品</w:t>
            </w:r>
            <w:r>
              <w:br/>
            </w:r>
            <w:r>
              <w:rPr>
                <w:rFonts w:ascii="仿宋_GB2312" w:hAnsi="仿宋_GB2312" w:cs="仿宋_GB2312" w:eastAsia="仿宋_GB2312"/>
              </w:rPr>
              <w:t xml:space="preserve"> 2.材质：100%纯棉</w:t>
            </w:r>
            <w:r>
              <w:br/>
            </w:r>
            <w:r>
              <w:rPr>
                <w:rFonts w:ascii="仿宋_GB2312" w:hAnsi="仿宋_GB2312" w:cs="仿宋_GB2312" w:eastAsia="仿宋_GB2312"/>
              </w:rPr>
              <w:t xml:space="preserve"> 3.规格尺寸：72cm×34cm ±2cm</w:t>
            </w:r>
            <w:r>
              <w:br/>
            </w:r>
            <w:r>
              <w:rPr>
                <w:rFonts w:ascii="仿宋_GB2312" w:hAnsi="仿宋_GB2312" w:cs="仿宋_GB2312" w:eastAsia="仿宋_GB2312"/>
              </w:rPr>
              <w:t xml:space="preserve"> 4.色牢度：耐水、耐汗、耐摩擦≥3级</w:t>
            </w:r>
            <w:r>
              <w:br/>
            </w:r>
            <w:r>
              <w:rPr>
                <w:rFonts w:ascii="仿宋_GB2312" w:hAnsi="仿宋_GB2312" w:cs="仿宋_GB2312" w:eastAsia="仿宋_GB2312"/>
              </w:rPr>
              <w:t xml:space="preserve"> 5.吸水性：≤10秒</w:t>
            </w:r>
          </w:p>
          <w:p>
            <w:pPr>
              <w:pStyle w:val="null3"/>
            </w:pPr>
            <w:r>
              <w:rPr>
                <w:rFonts w:ascii="仿宋_GB2312" w:hAnsi="仿宋_GB2312" w:cs="仿宋_GB2312" w:eastAsia="仿宋_GB2312"/>
              </w:rPr>
              <w:t>五、花露水：1100瓶</w:t>
            </w:r>
          </w:p>
          <w:p>
            <w:pPr>
              <w:pStyle w:val="null3"/>
            </w:pPr>
            <w:r>
              <w:rPr>
                <w:rFonts w:ascii="仿宋_GB2312" w:hAnsi="仿宋_GB2312" w:cs="仿宋_GB2312" w:eastAsia="仿宋_GB2312"/>
              </w:rPr>
              <w:t>1.净含量：195ml/瓶</w:t>
            </w:r>
            <w:r>
              <w:br/>
            </w:r>
            <w:r>
              <w:rPr>
                <w:rFonts w:ascii="仿宋_GB2312" w:hAnsi="仿宋_GB2312" w:cs="仿宋_GB2312" w:eastAsia="仿宋_GB2312"/>
              </w:rPr>
              <w:t xml:space="preserve"> 2.功效：清凉舒爽、祛痱止痒</w:t>
            </w:r>
            <w:r>
              <w:br/>
            </w:r>
            <w:r>
              <w:rPr>
                <w:rFonts w:ascii="仿宋_GB2312" w:hAnsi="仿宋_GB2312" w:cs="仿宋_GB2312" w:eastAsia="仿宋_GB2312"/>
              </w:rPr>
              <w:t xml:space="preserve"> 3.主要成分：天然草本提取液、乙醇、薄荷脑</w:t>
            </w:r>
            <w:r>
              <w:br/>
            </w:r>
            <w:r>
              <w:rPr>
                <w:rFonts w:ascii="仿宋_GB2312" w:hAnsi="仿宋_GB2312" w:cs="仿宋_GB2312" w:eastAsia="仿宋_GB2312"/>
              </w:rPr>
              <w:t xml:space="preserve"> 4.香型：清新花香型</w:t>
            </w:r>
            <w:r>
              <w:br/>
            </w:r>
            <w:r>
              <w:rPr>
                <w:rFonts w:ascii="仿宋_GB2312" w:hAnsi="仿宋_GB2312" w:cs="仿宋_GB2312" w:eastAsia="仿宋_GB2312"/>
              </w:rPr>
              <w:t xml:space="preserve"> 5.保质期：≥3年</w:t>
            </w:r>
            <w:r>
              <w:br/>
            </w:r>
            <w:r>
              <w:rPr>
                <w:rFonts w:ascii="仿宋_GB2312" w:hAnsi="仿宋_GB2312" w:cs="仿宋_GB2312" w:eastAsia="仿宋_GB2312"/>
              </w:rPr>
              <w:t xml:space="preserve"> ▲6.执行标准：QB/T 1858.1-2006</w:t>
            </w:r>
            <w:r>
              <w:br/>
            </w:r>
            <w:r>
              <w:rPr>
                <w:rFonts w:ascii="仿宋_GB2312" w:hAnsi="仿宋_GB2312" w:cs="仿宋_GB2312" w:eastAsia="仿宋_GB2312"/>
              </w:rPr>
              <w:t xml:space="preserve"> 7.包装：玻璃瓶装，密封完好</w:t>
            </w:r>
          </w:p>
          <w:p>
            <w:pPr>
              <w:pStyle w:val="null3"/>
            </w:pPr>
            <w:r>
              <w:rPr>
                <w:rFonts w:ascii="仿宋_GB2312" w:hAnsi="仿宋_GB2312" w:cs="仿宋_GB2312" w:eastAsia="仿宋_GB2312"/>
              </w:rPr>
              <w:t>六、洗头膏：1100瓶</w:t>
            </w:r>
          </w:p>
          <w:p>
            <w:pPr>
              <w:pStyle w:val="null3"/>
            </w:pPr>
            <w:r>
              <w:rPr>
                <w:rFonts w:ascii="仿宋_GB2312" w:hAnsi="仿宋_GB2312" w:cs="仿宋_GB2312" w:eastAsia="仿宋_GB2312"/>
              </w:rPr>
              <w:t>1.执行标准：GB/T 29679-2013</w:t>
            </w:r>
            <w:r>
              <w:br/>
            </w:r>
            <w:r>
              <w:rPr>
                <w:rFonts w:ascii="仿宋_GB2312" w:hAnsi="仿宋_GB2312" w:cs="仿宋_GB2312" w:eastAsia="仿宋_GB2312"/>
              </w:rPr>
              <w:t xml:space="preserve"> 2.净含量：360ml/瓶</w:t>
            </w:r>
            <w:r>
              <w:br/>
            </w:r>
            <w:r>
              <w:rPr>
                <w:rFonts w:ascii="仿宋_GB2312" w:hAnsi="仿宋_GB2312" w:cs="仿宋_GB2312" w:eastAsia="仿宋_GB2312"/>
              </w:rPr>
              <w:t xml:space="preserve"> 3.功效：清洁头皮、去屑止痒、柔顺滋养</w:t>
            </w:r>
            <w:r>
              <w:br/>
            </w:r>
            <w:r>
              <w:rPr>
                <w:rFonts w:ascii="仿宋_GB2312" w:hAnsi="仿宋_GB2312" w:cs="仿宋_GB2312" w:eastAsia="仿宋_GB2312"/>
              </w:rPr>
              <w:t xml:space="preserve"> 4.保质期：≥3年</w:t>
            </w:r>
            <w:r>
              <w:br/>
            </w:r>
            <w:r>
              <w:rPr>
                <w:rFonts w:ascii="仿宋_GB2312" w:hAnsi="仿宋_GB2312" w:cs="仿宋_GB2312" w:eastAsia="仿宋_GB2312"/>
              </w:rPr>
              <w:t xml:space="preserve"> 5.包装：瓶装密封完好，无渗漏</w:t>
            </w:r>
          </w:p>
          <w:p>
            <w:pPr>
              <w:pStyle w:val="null3"/>
            </w:pPr>
            <w:r>
              <w:rPr>
                <w:rFonts w:ascii="仿宋_GB2312" w:hAnsi="仿宋_GB2312" w:cs="仿宋_GB2312" w:eastAsia="仿宋_GB2312"/>
              </w:rPr>
              <w:t>七、冰糖：1100袋</w:t>
            </w:r>
          </w:p>
          <w:p>
            <w:pPr>
              <w:pStyle w:val="null3"/>
            </w:pPr>
            <w:r>
              <w:rPr>
                <w:rFonts w:ascii="仿宋_GB2312" w:hAnsi="仿宋_GB2312" w:cs="仿宋_GB2312" w:eastAsia="仿宋_GB2312"/>
              </w:rPr>
              <w:t>1.执行标准：Q/BDL 0002S-2025；GB 2760-2024</w:t>
            </w:r>
          </w:p>
          <w:p>
            <w:pPr>
              <w:pStyle w:val="null3"/>
            </w:pPr>
            <w:r>
              <w:rPr>
                <w:rFonts w:ascii="仿宋_GB2312" w:hAnsi="仿宋_GB2312" w:cs="仿宋_GB2312" w:eastAsia="仿宋_GB2312"/>
              </w:rPr>
              <w:t>▲2.食品安全标准：GB 13104-2014</w:t>
            </w:r>
            <w:r>
              <w:br/>
            </w:r>
            <w:r>
              <w:rPr>
                <w:rFonts w:ascii="仿宋_GB2312" w:hAnsi="仿宋_GB2312" w:cs="仿宋_GB2312" w:eastAsia="仿宋_GB2312"/>
              </w:rPr>
              <w:t xml:space="preserve"> 3.类型：单晶体冰糖</w:t>
            </w:r>
            <w:r>
              <w:br/>
            </w:r>
            <w:r>
              <w:rPr>
                <w:rFonts w:ascii="仿宋_GB2312" w:hAnsi="仿宋_GB2312" w:cs="仿宋_GB2312" w:eastAsia="仿宋_GB2312"/>
              </w:rPr>
              <w:t xml:space="preserve"> 4.蔗糖分：≥99.5%</w:t>
            </w:r>
            <w:r>
              <w:br/>
            </w:r>
            <w:r>
              <w:rPr>
                <w:rFonts w:ascii="仿宋_GB2312" w:hAnsi="仿宋_GB2312" w:cs="仿宋_GB2312" w:eastAsia="仿宋_GB2312"/>
              </w:rPr>
              <w:t xml:space="preserve"> 5.净含量：约400g/瓶</w:t>
            </w:r>
            <w:r>
              <w:br/>
            </w:r>
            <w:r>
              <w:rPr>
                <w:rFonts w:ascii="仿宋_GB2312" w:hAnsi="仿宋_GB2312" w:cs="仿宋_GB2312" w:eastAsia="仿宋_GB2312"/>
              </w:rPr>
              <w:t xml:space="preserve"> 6.外观：洁白半透明晶体，颗粒均匀，干燥不结块</w:t>
            </w:r>
            <w:r>
              <w:br/>
            </w:r>
            <w:r>
              <w:rPr>
                <w:rFonts w:ascii="仿宋_GB2312" w:hAnsi="仿宋_GB2312" w:cs="仿宋_GB2312" w:eastAsia="仿宋_GB2312"/>
              </w:rPr>
              <w:t xml:space="preserve"> 7.保质期：≥18个月</w:t>
            </w:r>
          </w:p>
          <w:p>
            <w:pPr>
              <w:pStyle w:val="null3"/>
            </w:pPr>
            <w:r>
              <w:rPr>
                <w:rFonts w:ascii="仿宋_GB2312" w:hAnsi="仿宋_GB2312" w:cs="仿宋_GB2312" w:eastAsia="仿宋_GB2312"/>
              </w:rPr>
              <w:t>八、电蚊香：1100盒</w:t>
            </w:r>
          </w:p>
          <w:p>
            <w:pPr>
              <w:pStyle w:val="null3"/>
            </w:pPr>
            <w:r>
              <w:rPr>
                <w:rFonts w:ascii="仿宋_GB2312" w:hAnsi="仿宋_GB2312" w:cs="仿宋_GB2312" w:eastAsia="仿宋_GB2312"/>
              </w:rPr>
              <w:t>1.类型：电热蚊香液套装</w:t>
            </w:r>
            <w:r>
              <w:br/>
            </w:r>
            <w:r>
              <w:rPr>
                <w:rFonts w:ascii="仿宋_GB2312" w:hAnsi="仿宋_GB2312" w:cs="仿宋_GB2312" w:eastAsia="仿宋_GB2312"/>
              </w:rPr>
              <w:t xml:space="preserve"> ▲2.执行标准：GB/T 18418-2017《家用卫生杀虫用品 电热蚊香液》</w:t>
            </w:r>
          </w:p>
          <w:p>
            <w:pPr>
              <w:pStyle w:val="null3"/>
            </w:pPr>
            <w:r>
              <w:rPr>
                <w:rFonts w:ascii="仿宋_GB2312" w:hAnsi="仿宋_GB2312" w:cs="仿宋_GB2312" w:eastAsia="仿宋_GB2312"/>
              </w:rPr>
              <w:t>▲3.有效成分：氯氟醚菊酯 0.5%~1.2%</w:t>
            </w:r>
            <w:r>
              <w:br/>
            </w:r>
            <w:r>
              <w:rPr>
                <w:rFonts w:ascii="仿宋_GB2312" w:hAnsi="仿宋_GB2312" w:cs="仿宋_GB2312" w:eastAsia="仿宋_GB2312"/>
              </w:rPr>
              <w:t xml:space="preserve"> 4.降解率≤10</w:t>
            </w:r>
          </w:p>
          <w:p>
            <w:pPr>
              <w:pStyle w:val="null3"/>
            </w:pPr>
            <w:r>
              <w:rPr>
                <w:rFonts w:ascii="仿宋_GB2312" w:hAnsi="仿宋_GB2312" w:cs="仿宋_GB2312" w:eastAsia="仿宋_GB2312"/>
              </w:rPr>
              <w:t>5.毒理:应符合相应的毒理学试验要求</w:t>
            </w:r>
          </w:p>
          <w:p>
            <w:pPr>
              <w:pStyle w:val="null3"/>
            </w:pPr>
            <w:r>
              <w:rPr>
                <w:rFonts w:ascii="仿宋_GB2312" w:hAnsi="仿宋_GB2312" w:cs="仿宋_GB2312" w:eastAsia="仿宋_GB2312"/>
              </w:rPr>
              <w:t>6.保质期：≥2年</w:t>
            </w:r>
          </w:p>
          <w:p>
            <w:pPr>
              <w:pStyle w:val="null3"/>
            </w:pPr>
            <w:r>
              <w:rPr>
                <w:rFonts w:ascii="仿宋_GB2312" w:hAnsi="仿宋_GB2312" w:cs="仿宋_GB2312" w:eastAsia="仿宋_GB2312"/>
              </w:rPr>
              <w:t>九、蚊香：1100盒</w:t>
            </w:r>
          </w:p>
          <w:p>
            <w:pPr>
              <w:pStyle w:val="null3"/>
            </w:pPr>
            <w:r>
              <w:rPr>
                <w:rFonts w:ascii="仿宋_GB2312" w:hAnsi="仿宋_GB2312" w:cs="仿宋_GB2312" w:eastAsia="仿宋_GB2312"/>
              </w:rPr>
              <w:t>1.外观:香体整洁，色泽均匀，香面无霉斑，香条无断裂、变形和缺损</w:t>
            </w:r>
          </w:p>
          <w:p>
            <w:pPr>
              <w:pStyle w:val="null3"/>
            </w:pPr>
            <w:r>
              <w:rPr>
                <w:rFonts w:ascii="仿宋_GB2312" w:hAnsi="仿宋_GB2312" w:cs="仿宋_GB2312" w:eastAsia="仿宋_GB2312"/>
              </w:rPr>
              <w:t>2.无刺激性异味</w:t>
            </w:r>
          </w:p>
          <w:p>
            <w:pPr>
              <w:pStyle w:val="null3"/>
            </w:pPr>
            <w:r>
              <w:rPr>
                <w:rFonts w:ascii="仿宋_GB2312" w:hAnsi="仿宋_GB2312" w:cs="仿宋_GB2312" w:eastAsia="仿宋_GB2312"/>
              </w:rPr>
              <w:t>▲3.有效成分：氯氟醚菊酯或富右旋反式烯丙菊酯≥0.05%</w:t>
            </w:r>
          </w:p>
          <w:p>
            <w:pPr>
              <w:pStyle w:val="null3"/>
            </w:pPr>
            <w:r>
              <w:rPr>
                <w:rFonts w:ascii="仿宋_GB2312" w:hAnsi="仿宋_GB2312" w:cs="仿宋_GB2312" w:eastAsia="仿宋_GB2312"/>
              </w:rPr>
              <w:t>4.规格：≥20双盘/盒</w:t>
            </w:r>
            <w:r>
              <w:br/>
            </w:r>
            <w:r>
              <w:rPr>
                <w:rFonts w:ascii="仿宋_GB2312" w:hAnsi="仿宋_GB2312" w:cs="仿宋_GB2312" w:eastAsia="仿宋_GB2312"/>
              </w:rPr>
              <w:t xml:space="preserve"> 5.抗折力：≥1.5N</w:t>
            </w:r>
          </w:p>
          <w:p>
            <w:pPr>
              <w:pStyle w:val="null3"/>
            </w:pPr>
            <w:r>
              <w:rPr>
                <w:rFonts w:ascii="仿宋_GB2312" w:hAnsi="仿宋_GB2312" w:cs="仿宋_GB2312" w:eastAsia="仿宋_GB2312"/>
              </w:rPr>
              <w:t>6.烟尘量≤30mg/g</w:t>
            </w:r>
          </w:p>
          <w:p>
            <w:pPr>
              <w:pStyle w:val="null3"/>
            </w:pPr>
            <w:r>
              <w:rPr>
                <w:rFonts w:ascii="仿宋_GB2312" w:hAnsi="仿宋_GB2312" w:cs="仿宋_GB2312" w:eastAsia="仿宋_GB2312"/>
              </w:rPr>
              <w:t>7.热贮稳定性试验:合格</w:t>
            </w:r>
          </w:p>
          <w:p>
            <w:pPr>
              <w:pStyle w:val="null3"/>
            </w:pPr>
            <w:r>
              <w:rPr>
                <w:rFonts w:ascii="仿宋_GB2312" w:hAnsi="仿宋_GB2312" w:cs="仿宋_GB2312" w:eastAsia="仿宋_GB2312"/>
              </w:rPr>
              <w:t>8.保质期：≥2年</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各项具体工作的质量标准和作业规范，按国家标准、行业标准、有关技术规范要求及招标文件、投标文件规定的内容执行。乙方提供的产品符合国家标准、行业标准以及有关技术规范要求。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质保期时长不低于国家、行业及地方现行有效标准中规定的最低质保期限。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（一）未按合同要求提供产品不能满足技术要求，甲方会同监督机构、采购代理机构有权终止合同并对乙方的违约行为进行追究，同时按政府采购供应商管理办法进行相应的处罚。 （二）甲方应按照合同约定的时间和比例向乙方支付货款。甲方逾期付款的，应按照逾期未支付货款金额的同期银行贷款利率向乙方支付违约金。 （三）乙方交付的标的物不符合约定的，甲方可以解除合同，并要求乙方按照合同的20%支付违约金。由此给甲方造成损失的，乙方还应当赔偿损失。 （四）乙方逾期交货的，每逾期一日按合同价款的3‰ 向甲方支付违约金。逾期达 5 日，甲方有权解除合同，乙方应按合同价款的 20 %向甲方支付违约金，并赔偿由此给甲方造成的相关经济损失。 （五）乙方未在约定的期限内完成安装调试并经甲方验收合格的，每逾期一日按照合同总价款的 3 ‰向甲方支付违约金。逾期达 5日，甲方有权解除合同，并要求乙方按照合同总价款的 20 %支付违约金。由此给甲方造成损失的，乙方还应当赔偿损失。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 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w:t>
            </w:r>
          </w:p>
        </w:tc>
        <w:tc>
          <w:tcPr>
            <w:tcW w:type="dxa" w:w="3322"/>
          </w:tcPr>
          <w:p>
            <w:pPr>
              <w:pStyle w:val="null3"/>
            </w:pPr>
            <w:r>
              <w:rPr>
                <w:rFonts w:ascii="仿宋_GB2312" w:hAnsi="仿宋_GB2312" w:cs="仿宋_GB2312" w:eastAsia="仿宋_GB2312"/>
              </w:rPr>
              <w:t>投标人为具有独立承担民事责任能力的企业法人、事业法人、其他组织或者自然人。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税收缴纳证明：提供投标文件递交截止时间前一年内任意一个月的缴费凭据；依法免税的应提供相关文件证明；社会保障资金缴纳证明：提供投标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法定代表人证明书或法定代表人授权书.docx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投标人名称与营业执照等一致</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投标函 政府采购供应商拒绝政府采购领域商业贿赂承诺书.pdf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投标文件按照招标文件要求进行签章</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投标函 政府采购供应商拒绝政府采购领域商业贿赂承诺书.pdf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招标文件规定的其他情形</w:t>
            </w:r>
          </w:p>
        </w:tc>
        <w:tc>
          <w:tcPr>
            <w:tcW w:type="dxa" w:w="1661"/>
          </w:tcPr>
          <w:p>
            <w:pPr>
              <w:pStyle w:val="null3"/>
            </w:pPr>
            <w:r>
              <w:rPr>
                <w:rFonts w:ascii="仿宋_GB2312" w:hAnsi="仿宋_GB2312" w:cs="仿宋_GB2312" w:eastAsia="仿宋_GB2312"/>
              </w:rPr>
              <w:t>法定代表人证明书或法定代表人授权书.docx 开标一览表 中小企业声明函 商务应答表 项目实施方案.docx 投标人应提交的相关资格证明材料 产品技术参数表 投标函 政府采购供应商拒绝政府采购领域商业贿赂承诺书.pdf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所提供的证明材料，配置和功能、技术指标和性能综合评分，“▲”项参数满分16分，每负偏离一项扣2分，扣完为止；非“▲”号项参数满分9分，每负偏离一项扣0.2分，扣完为止。注：投标人应根据技术要求提供佐证材料（不局限于检测报告、产品彩页、官网截图、说明书等）以证明参数的技术响应性，投标人自负因佐证材料不全而造成技术参数响应负偏离的后果。</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包含不限于： ①供货产品信息；②生产能力；③运输方式；④供货组织架构与人员安排； 以上内容无缺项，专门针对本项目编制，符合本项目实际情况，内容全面详细，且条理清晰、准确、措施合理化能够保障项目顺利实施的得12分。每小项缺项或者内容非针对于本项目的扣3分，每小项有一处缺陷的扣1分，扣完为止。 缺陷是指： ①内容不完整、缺少关键点； ②针对性不强、内容无紧扣项目实际情况； 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包含但不限于： ①质量保证承诺；②质量保障措施；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包含但不限于：①对紧急或突发业务的应急保障措施；②应急响应时间及出现问题应急人员安排。 以上内容无缺项，专门针对本项目编制，符合本项目实际情况，内容全面详细，且条理清晰、准确、措施合理化能够保障项目顺利实施的得2分。每小项缺项或者内容非针对于本项目的扣1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包含但不限于：①售后服务内容；②售后服务人员安排； 以上内容无缺项，专门针对本项目编制，符合本项目实际情况，内容全面详细，且条理清晰、准确、措施合理化能够保障项目顺利实施的得3分。每小项缺项或者内容非针对于本项目的扣1.5分，每小项有一处缺陷的扣0.5分，扣完为止。 缺陷是指： ①内容不完整、缺少关键点； ②针对性不强、内容无紧扣项目实际情况； ③表述前后不一致、存在歧义； ④存在抄袭或套用其他地区项目内容； ⑤科学原理或常识错误等； ⑥现有技术条件下不可能出现的及其他不利于项目实施的情形等任意一种情形。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提供的产品为节能产品政府采购清单中优先采购的节能产品截图和认证证书)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投标人具有近三年内（2023年7月至今）的类似项目业绩，每提供一个业绩得2分，本项最高得10分。 注：合同复印件加盖投标人公章，以合同时间签订为准。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①供货期：满足基础交付时限的前提下，每提前1天加2分，最高不超过4分； ②提供针对救助物资的紧急补货方案，包含具体库存数量、备用车辆数量及极端天气48小时到位的承诺得3分，未提供不得分；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人员</w:t>
            </w:r>
          </w:p>
        </w:tc>
        <w:tc>
          <w:tcPr>
            <w:tcW w:type="dxa" w:w="2492"/>
          </w:tcPr>
          <w:p>
            <w:pPr>
              <w:pStyle w:val="null3"/>
            </w:pPr>
            <w:r>
              <w:rPr>
                <w:rFonts w:ascii="仿宋_GB2312" w:hAnsi="仿宋_GB2312" w:cs="仿宋_GB2312" w:eastAsia="仿宋_GB2312"/>
              </w:rPr>
              <w:t>项目实施人员配备情况： ①项目管理机构人员配备4人及以上得6分； ②项目管理机构人员配备2-3人得3分； 注：须提供与本项目履约相关的岗位人员证明材料。缺项或未按要求提供有效证明材料的，本项计0分。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详见附件：法定代表人证明书或法定代表人授权书.docx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详见附件：产品分项报价表.docx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