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版本号：E-264112XA008-0120260722001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DSA维保项目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E-264112XA008-01</w:t>
      </w:r>
      <w:r>
        <w:br/>
      </w:r>
      <w:r>
        <w:br/>
      </w:r>
      <w:r>
        <w:br/>
      </w:r>
    </w:p>
    <w:p>
      <w:pPr>
        <w:pStyle w:val="null3"/>
        <w:jc w:val="center"/>
        <w:outlineLvl w:val="2"/>
      </w:pPr>
      <w:r>
        <w:rPr>
          <w:rFonts w:ascii="仿宋_GB2312" w:hAnsi="仿宋_GB2312" w:cs="仿宋_GB2312" w:eastAsia="仿宋_GB2312"/>
          <w:sz w:val="28"/>
          <w:b/>
        </w:rPr>
        <w:t>咸阳市中心医院</w:t>
      </w:r>
    </w:p>
    <w:p>
      <w:pPr>
        <w:pStyle w:val="null3"/>
        <w:jc w:val="center"/>
        <w:outlineLvl w:val="2"/>
      </w:pPr>
      <w:r>
        <w:rPr>
          <w:rFonts w:ascii="仿宋_GB2312" w:hAnsi="仿宋_GB2312" w:cs="仿宋_GB2312" w:eastAsia="仿宋_GB2312"/>
          <w:sz w:val="28"/>
          <w:b/>
        </w:rPr>
        <w:t>中杭际(北京)工程管理有限公司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中杭际(北京)工程管理有限公司</w:t>
      </w:r>
      <w:r>
        <w:rPr>
          <w:rFonts w:ascii="仿宋_GB2312" w:hAnsi="仿宋_GB2312" w:cs="仿宋_GB2312" w:eastAsia="仿宋_GB2312"/>
        </w:rPr>
        <w:t>（以下简称“代理机构”）受</w:t>
      </w:r>
      <w:r>
        <w:rPr>
          <w:rFonts w:ascii="仿宋_GB2312" w:hAnsi="仿宋_GB2312" w:cs="仿宋_GB2312" w:eastAsia="仿宋_GB2312"/>
        </w:rPr>
        <w:t>咸阳市中心医院</w:t>
      </w:r>
      <w:r>
        <w:rPr>
          <w:rFonts w:ascii="仿宋_GB2312" w:hAnsi="仿宋_GB2312" w:cs="仿宋_GB2312" w:eastAsia="仿宋_GB2312"/>
        </w:rPr>
        <w:t>委托，拟对</w:t>
      </w:r>
      <w:r>
        <w:rPr>
          <w:rFonts w:ascii="仿宋_GB2312" w:hAnsi="仿宋_GB2312" w:cs="仿宋_GB2312" w:eastAsia="仿宋_GB2312"/>
        </w:rPr>
        <w:t>DSA维保项目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E-264112XA008-01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DSA维保项目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本项目为咸阳市中心医院飞利浦UNIQ FD20 DSA 2台（2390、2453）整机全保修。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采购包1（DSA维保项目）：属于专门面向中小企业采购。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1、授权委托书/法定代表人身份证明：提供供应商法定代表人授权委托书，附法定代表人及授权人代表身份证复印件并依照规定格式签署和盖章，法定代表人参加磋商的提供身份证明及身份证复印件；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咸阳市中心医院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咸阳市人民东路78号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029-33287237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中杭际(北京)工程管理有限公司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西安市高新区沣惠南路34号摩尔中心A座24层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赵伟、杨晶莹、张敏、杜文文、吴世康、陈鑫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029-89282007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按照国家计委颁布的《招标代理服务收费管理暂行办法》（计价格[2002]1980号）和国家发改委办公厅颁布的《国家发改委办公厅关于招标代理服务收费有关问题的通知》（发改办价格[2003]857号）的规定，中标金额＜100万元，按照标准下浮30%收取；100万元≤中标金额＜200万元，按照标准下浮35%收取。由成交供应商在领取成交通知书前向采购代理机构一次性支付。 户名：中杭际（北京）工程管理有限公司西安分公司 账号：102876626131 开户银行：中国银行西安高科智慧园支行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咸阳市中心医院</w:t>
      </w:r>
      <w:r>
        <w:rPr>
          <w:rFonts w:ascii="仿宋_GB2312" w:hAnsi="仿宋_GB2312" w:cs="仿宋_GB2312" w:eastAsia="仿宋_GB2312"/>
        </w:rPr>
        <w:t>和</w:t>
      </w:r>
      <w:r>
        <w:rPr>
          <w:rFonts w:ascii="仿宋_GB2312" w:hAnsi="仿宋_GB2312" w:cs="仿宋_GB2312" w:eastAsia="仿宋_GB2312"/>
        </w:rPr>
        <w:t>中杭际(北京)工程管理有限公司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咸阳市中心医院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中杭际(北京)工程管理有限公司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咸阳市中心医院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中杭际(北京)工程管理有限公司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达到合同规定的技术和商务要求。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w:t>
      </w:r>
    </w:p>
    <w:p>
      <w:pPr>
        <w:pStyle w:val="null3"/>
      </w:pPr>
      <w:r>
        <w:rPr>
          <w:rFonts w:ascii="仿宋_GB2312" w:hAnsi="仿宋_GB2312" w:cs="仿宋_GB2312" w:eastAsia="仿宋_GB2312"/>
        </w:rPr>
        <w:t>联系电话：029-89282007</w:t>
      </w:r>
    </w:p>
    <w:p>
      <w:pPr>
        <w:pStyle w:val="null3"/>
      </w:pPr>
      <w:r>
        <w:rPr>
          <w:rFonts w:ascii="仿宋_GB2312" w:hAnsi="仿宋_GB2312" w:cs="仿宋_GB2312" w:eastAsia="仿宋_GB2312"/>
        </w:rPr>
        <w:t>地址：西安市高新区沣惠南路34号摩尔中心A座24层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w:t>
      </w:r>
      <w:r>
        <w:rPr>
          <w:rFonts w:ascii="仿宋_GB2312" w:hAnsi="仿宋_GB2312" w:cs="仿宋_GB2312" w:eastAsia="仿宋_GB2312"/>
        </w:rPr>
        <w:t>咸阳市中心医院飞利浦</w:t>
      </w:r>
      <w:r>
        <w:rPr>
          <w:rFonts w:ascii="仿宋_GB2312" w:hAnsi="仿宋_GB2312" w:cs="仿宋_GB2312" w:eastAsia="仿宋_GB2312"/>
        </w:rPr>
        <w:t>UNIQ FD20</w:t>
      </w:r>
      <w:r>
        <w:rPr>
          <w:rFonts w:ascii="仿宋_GB2312" w:hAnsi="仿宋_GB2312" w:cs="仿宋_GB2312" w:eastAsia="仿宋_GB2312"/>
        </w:rPr>
        <w:t xml:space="preserve"> </w:t>
      </w:r>
      <w:r>
        <w:rPr>
          <w:rFonts w:ascii="仿宋_GB2312" w:hAnsi="仿宋_GB2312" w:cs="仿宋_GB2312" w:eastAsia="仿宋_GB2312"/>
        </w:rPr>
        <w:t>DSA  2台（2390、2453）</w:t>
      </w:r>
      <w:r>
        <w:rPr>
          <w:rFonts w:ascii="仿宋_GB2312" w:hAnsi="仿宋_GB2312" w:cs="仿宋_GB2312" w:eastAsia="仿宋_GB2312"/>
        </w:rPr>
        <w:t>整机全保修（含球管、探测器及所有配件、工作站，相关配套设备等）</w:t>
      </w: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1,160,000.00</w:t>
      </w:r>
    </w:p>
    <w:p>
      <w:pPr>
        <w:pStyle w:val="null3"/>
      </w:pPr>
      <w:r>
        <w:rPr>
          <w:rFonts w:ascii="仿宋_GB2312" w:hAnsi="仿宋_GB2312" w:cs="仿宋_GB2312" w:eastAsia="仿宋_GB2312"/>
        </w:rPr>
        <w:t>采购包最高限价（元）: 1,160,000.00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咸阳市中心医院DSA维保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1,160,000.00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标的名称：咸阳市中心医院DSA维保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维保设备型号</w:t>
            </w:r>
            <w:r>
              <w:rPr>
                <w:rFonts w:ascii="仿宋_GB2312" w:hAnsi="仿宋_GB2312" w:cs="仿宋_GB2312" w:eastAsia="仿宋_GB2312"/>
                <w:sz w:val="21"/>
              </w:rPr>
              <w:t>：</w:t>
            </w:r>
            <w:r>
              <w:rPr>
                <w:rFonts w:ascii="仿宋_GB2312" w:hAnsi="仿宋_GB2312" w:cs="仿宋_GB2312" w:eastAsia="仿宋_GB2312"/>
                <w:sz w:val="21"/>
              </w:rPr>
              <w:t>飞利浦</w:t>
            </w:r>
            <w:r>
              <w:rPr>
                <w:rFonts w:ascii="仿宋_GB2312" w:hAnsi="仿宋_GB2312" w:cs="仿宋_GB2312" w:eastAsia="仿宋_GB2312"/>
                <w:sz w:val="21"/>
              </w:rPr>
              <w:t>UNIQ FD20</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维保范围</w:t>
            </w:r>
            <w:r>
              <w:rPr>
                <w:rFonts w:ascii="仿宋_GB2312" w:hAnsi="仿宋_GB2312" w:cs="仿宋_GB2312" w:eastAsia="仿宋_GB2312"/>
                <w:sz w:val="21"/>
              </w:rPr>
              <w:t>：</w:t>
            </w:r>
            <w:r>
              <w:rPr>
                <w:rFonts w:ascii="仿宋_GB2312" w:hAnsi="仿宋_GB2312" w:cs="仿宋_GB2312" w:eastAsia="仿宋_GB2312"/>
                <w:sz w:val="21"/>
              </w:rPr>
              <w:t>2台（2390、2453）整机全保修（含球管、探测器及所有配件、工作站，相关配套设备等）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必须保证设备全年开机率达</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8</w:t>
            </w:r>
            <w:r>
              <w:rPr>
                <w:rFonts w:ascii="仿宋_GB2312" w:hAnsi="仿宋_GB2312" w:cs="仿宋_GB2312" w:eastAsia="仿宋_GB2312"/>
                <w:sz w:val="21"/>
              </w:rPr>
              <w:t>%，（按照365天/年计），即正常开机达到3</w:t>
            </w:r>
            <w:r>
              <w:rPr>
                <w:rFonts w:ascii="仿宋_GB2312" w:hAnsi="仿宋_GB2312" w:cs="仿宋_GB2312" w:eastAsia="仿宋_GB2312"/>
                <w:sz w:val="21"/>
              </w:rPr>
              <w:t>58</w:t>
            </w:r>
            <w:r>
              <w:rPr>
                <w:rFonts w:ascii="仿宋_GB2312" w:hAnsi="仿宋_GB2312" w:cs="仿宋_GB2312" w:eastAsia="仿宋_GB2312"/>
                <w:sz w:val="21"/>
              </w:rPr>
              <w:t>天</w:t>
            </w:r>
            <w:r>
              <w:rPr>
                <w:rFonts w:ascii="仿宋_GB2312" w:hAnsi="仿宋_GB2312" w:cs="仿宋_GB2312" w:eastAsia="仿宋_GB2312"/>
                <w:sz w:val="21"/>
              </w:rPr>
              <w:t>/年，停机不超过</w:t>
            </w:r>
            <w:r>
              <w:rPr>
                <w:rFonts w:ascii="仿宋_GB2312" w:hAnsi="仿宋_GB2312" w:cs="仿宋_GB2312" w:eastAsia="仿宋_GB2312"/>
                <w:sz w:val="21"/>
              </w:rPr>
              <w:t>7</w:t>
            </w:r>
            <w:r>
              <w:rPr>
                <w:rFonts w:ascii="仿宋_GB2312" w:hAnsi="仿宋_GB2312" w:cs="仿宋_GB2312" w:eastAsia="仿宋_GB2312"/>
                <w:sz w:val="21"/>
              </w:rPr>
              <w:t>天</w:t>
            </w:r>
            <w:r>
              <w:rPr>
                <w:rFonts w:ascii="仿宋_GB2312" w:hAnsi="仿宋_GB2312" w:cs="仿宋_GB2312" w:eastAsia="仿宋_GB2312"/>
                <w:sz w:val="21"/>
              </w:rPr>
              <w:t>/年。停机每超出1日，合同期限自动延长5日</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具有</w:t>
            </w:r>
            <w:r>
              <w:rPr>
                <w:rFonts w:ascii="仿宋_GB2312" w:hAnsi="仿宋_GB2312" w:cs="仿宋_GB2312" w:eastAsia="仿宋_GB2312"/>
                <w:sz w:val="21"/>
              </w:rPr>
              <w:t>维修服务热线电话</w:t>
            </w:r>
            <w:r>
              <w:rPr>
                <w:rFonts w:ascii="仿宋_GB2312" w:hAnsi="仿宋_GB2312" w:cs="仿宋_GB2312" w:eastAsia="仿宋_GB2312"/>
                <w:sz w:val="21"/>
              </w:rPr>
              <w:t>，</w:t>
            </w:r>
            <w:r>
              <w:rPr>
                <w:rFonts w:ascii="仿宋_GB2312" w:hAnsi="仿宋_GB2312" w:cs="仿宋_GB2312" w:eastAsia="仿宋_GB2312"/>
                <w:sz w:val="21"/>
              </w:rPr>
              <w:t>全</w:t>
            </w:r>
            <w:r>
              <w:rPr>
                <w:rFonts w:ascii="仿宋_GB2312" w:hAnsi="仿宋_GB2312" w:cs="仿宋_GB2312" w:eastAsia="仿宋_GB2312"/>
                <w:sz w:val="21"/>
              </w:rPr>
              <w:t>年</w:t>
            </w:r>
            <w:r>
              <w:rPr>
                <w:rFonts w:ascii="仿宋_GB2312" w:hAnsi="仿宋_GB2312" w:cs="仿宋_GB2312" w:eastAsia="仿宋_GB2312"/>
                <w:sz w:val="21"/>
              </w:rPr>
              <w:t>365天开通，响应时间须≤0.5小时；到达现场时间须≤2小时；故障解决时间≤24小时。</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所有更换的配件为原厂全新配件（提供承诺函）。</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每年提供现场设备巡检、保养</w:t>
            </w:r>
            <w:r>
              <w:rPr>
                <w:rFonts w:ascii="仿宋_GB2312" w:hAnsi="仿宋_GB2312" w:cs="仿宋_GB2312" w:eastAsia="仿宋_GB2312"/>
              </w:rPr>
              <w:t>4次，使之保持原厂QC标准或国家质量计监部门之标准，并包含如下项目：</w:t>
            </w:r>
          </w:p>
          <w:p>
            <w:pPr>
              <w:pStyle w:val="null3"/>
            </w:pPr>
            <w:r>
              <w:rPr>
                <w:rFonts w:ascii="仿宋_GB2312" w:hAnsi="仿宋_GB2312" w:cs="仿宋_GB2312" w:eastAsia="仿宋_GB2312"/>
              </w:rPr>
              <w:t>①机器清洁除尘4次/年；</w:t>
            </w:r>
          </w:p>
          <w:p>
            <w:pPr>
              <w:pStyle w:val="null3"/>
            </w:pPr>
            <w:r>
              <w:rPr>
                <w:rFonts w:ascii="仿宋_GB2312" w:hAnsi="仿宋_GB2312" w:cs="仿宋_GB2312" w:eastAsia="仿宋_GB2312"/>
              </w:rPr>
              <w:t>②影像质量检查、性能测试及校准4次/年；</w:t>
            </w:r>
          </w:p>
          <w:p>
            <w:pPr>
              <w:pStyle w:val="null3"/>
            </w:pPr>
            <w:r>
              <w:rPr>
                <w:rFonts w:ascii="仿宋_GB2312" w:hAnsi="仿宋_GB2312" w:cs="仿宋_GB2312" w:eastAsia="仿宋_GB2312"/>
              </w:rPr>
              <w:t>③必要的机械或电气环境等安全检查4次/年；</w:t>
            </w:r>
          </w:p>
          <w:p>
            <w:pPr>
              <w:pStyle w:val="null3"/>
            </w:pPr>
            <w:r>
              <w:rPr>
                <w:rFonts w:ascii="仿宋_GB2312" w:hAnsi="仿宋_GB2312" w:cs="仿宋_GB2312" w:eastAsia="仿宋_GB2312"/>
                <w:sz w:val="21"/>
              </w:rPr>
              <w:t>④提供计划性的定期维护报告2次/年。</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提供系统软件补丁</w:t>
            </w:r>
            <w:r>
              <w:rPr>
                <w:rFonts w:ascii="仿宋_GB2312" w:hAnsi="仿宋_GB2312" w:cs="仿宋_GB2312" w:eastAsia="仿宋_GB2312"/>
                <w:sz w:val="21"/>
              </w:rPr>
              <w:t>及安全升级服务</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配合年度相关部门检测工作，发现问题及时整改。</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每年向院方提供维修保养总结报告，并装订成册。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一年，到期后考核合格，可续签两次，每次续签服务期为一年。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咸阳市中心医院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1、磋商文件、磋商响应文件、澄清表（函）； 2、本合同及附件文本；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其他，合同签订后，达到付款条件起30个工作日内，支付合同总金额的80.0%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其他，服务期满后，经医院考核合格，达到付款条件起30个工作日内，支付合同总金额的20.0%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服务期：一年，到期后考核合格，可续签两次，每次续签服务期为一年。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1.法人或者其他组织出具合法有效的营业执照或事业单位法人证书等国家规定的相关证明； 2.响应文件递交截止时间前6个月内至少一个月的纳税证明或完税证明（除个人所得税外的其他任意税种）；或提供具有依法纳税良好记录的承诺函。以上两种形式的资料提供任何一种即可，依法免税的供应商应提供相关证明材料。3.磋商截止时间前6个月内至少一个月的社会保障资金缴存单据或社保机构开具的社会保险参保缴费情况证明；或提供具有依法缴纳社会保障资金良好记录的承诺函。以上两种形式的资料提供任何一种即可，依法不需要缴纳社会保障资金的供应商应提供相关证明材料； 4.提供具有履行合同所必需的设备和专业技术能力的承诺； 5.参加政府采购活动前3年内，在经营活动中没有重大违法记录的书面声明。供应商需在项目电子化交易系统中按要求填写《投标函》完成承诺并进行电子签章。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且经注册会计师行业统一监管平台赋码的财务报告（包括四表一注，即资产负债表、利润表、现金流量表、所有者权益变动表及其附注）；事业法人提供部门决算报告；或响应文件递交截止时间前6个月内任意时间由银行出具的资信证明；或提供具有良好商业信誉和健全的财务会计制度的承诺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提供供应商法定代表人授权委托书，附法定代表人及授权人代表身份证复印件并依照规定格式签署和盖章，法定代表人参加磋商的提供身份证明及身份证复印件；</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响应内容基本完整，无重大错漏，并按“响应文件格式”和磋商文件要求填写、签署、盖章。（不得因文件排序等非实质性的格式、形式问题限制和影响供应商响应)</w:t>
            </w:r>
          </w:p>
        </w:tc>
        <w:tc>
          <w:tcPr>
            <w:tcW w:type="dxa" w:w="3322"/>
          </w:tcPr>
          <w:p>
            <w:pPr>
              <w:pStyle w:val="null3"/>
            </w:pPr>
            <w:r>
              <w:rPr>
                <w:rFonts w:ascii="仿宋_GB2312" w:hAnsi="仿宋_GB2312" w:cs="仿宋_GB2312" w:eastAsia="仿宋_GB2312"/>
              </w:rPr>
              <w:t>符合磋商文件要求，通过。</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服务内容及服务要求应答表 标的清单 供应商应提交的相关资格证明文件.docx 报价表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磋商有效期符合磋商文件要求。</w:t>
            </w:r>
          </w:p>
        </w:tc>
        <w:tc>
          <w:tcPr>
            <w:tcW w:type="dxa" w:w="3322"/>
          </w:tcPr>
          <w:p>
            <w:pPr>
              <w:pStyle w:val="null3"/>
            </w:pPr>
            <w:r>
              <w:rPr>
                <w:rFonts w:ascii="仿宋_GB2312" w:hAnsi="仿宋_GB2312" w:cs="仿宋_GB2312" w:eastAsia="仿宋_GB2312"/>
              </w:rPr>
              <w:t>符合磋商文件要求，通过。</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磋商报价未超过采购预算。</w:t>
            </w:r>
          </w:p>
        </w:tc>
        <w:tc>
          <w:tcPr>
            <w:tcW w:type="dxa" w:w="3322"/>
          </w:tcPr>
          <w:p>
            <w:pPr>
              <w:pStyle w:val="null3"/>
            </w:pPr>
            <w:r>
              <w:rPr>
                <w:rFonts w:ascii="仿宋_GB2312" w:hAnsi="仿宋_GB2312" w:cs="仿宋_GB2312" w:eastAsia="仿宋_GB2312"/>
              </w:rPr>
              <w:t>符合磋商文件要求，通过。</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符合磋商文件要求，通过</w:t>
            </w:r>
          </w:p>
        </w:tc>
        <w:tc>
          <w:tcPr>
            <w:tcW w:type="dxa" w:w="1661"/>
          </w:tcPr>
          <w:p>
            <w:pPr>
              <w:pStyle w:val="null3"/>
            </w:pPr>
            <w:r>
              <w:rPr>
                <w:rFonts w:ascii="仿宋_GB2312" w:hAnsi="仿宋_GB2312" w:cs="仿宋_GB2312" w:eastAsia="仿宋_GB2312"/>
              </w:rPr>
              <w:t>响应文件封面 商务应答表 服务内容及服务要求应答表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响应文件中没有出现磋商文件规定的其它无效响应情形。</w:t>
            </w:r>
          </w:p>
        </w:tc>
        <w:tc>
          <w:tcPr>
            <w:tcW w:type="dxa" w:w="3322"/>
          </w:tcPr>
          <w:p>
            <w:pPr>
              <w:pStyle w:val="null3"/>
            </w:pPr>
            <w:r>
              <w:rPr>
                <w:rFonts w:ascii="仿宋_GB2312" w:hAnsi="仿宋_GB2312" w:cs="仿宋_GB2312" w:eastAsia="仿宋_GB2312"/>
              </w:rPr>
              <w:t>符合磋商文件要求，通过。</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服务内容及服务要求应答表 标的清单 供应商应提交的相关资格证明文件.docx 报价表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维修设备了解及维修重点难点分析</w:t>
            </w:r>
          </w:p>
        </w:tc>
        <w:tc>
          <w:tcPr>
            <w:tcW w:type="dxa" w:w="2492"/>
          </w:tcPr>
          <w:p>
            <w:pPr>
              <w:pStyle w:val="null3"/>
            </w:pPr>
            <w:r>
              <w:rPr>
                <w:rFonts w:ascii="仿宋_GB2312" w:hAnsi="仿宋_GB2312" w:cs="仿宋_GB2312" w:eastAsia="仿宋_GB2312"/>
              </w:rPr>
              <w:t>1、评审内容：供应商提供针对本项目的总体方案，方案内容包括：① 设备常见故障类型及处理方式 ②设备维修保养的重点难点分析。 2、评审标准： ①全面性：内容全面，包括所有评审内容，无遗漏；②详细性：内容详细，针对每一评审内容能够有明确具体的描述和说明；③合理性：内容合理，准确，符合项目实际情况，有利于项目的实施。 3、赋分标准：每一项评审内容满足每一项评审标准得1分，最多得6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1、评审内容：供应商针对本项目应建立完善的服务方案，内容包括但不限于： ①健全的维护管理方案； ②设备日常巡检、维护、保养方案； ③设备维修、配件更换方案； ④质量监控、使用评价等； 2、评审标准：①全面性：内容全面，包括所有评审内容，无遗漏； ②详细性：内容详细，针对每一评审内容能够有明确具体的描述和说明； ③合理性：内容合理，准确，符合项目实际情况，有利于项目的实施。 3、赋分标准： 每一项评审内容满足每一项评审标准得1分，最多得12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1、评审内容：供应商提供针对本项目的总体方案，方案内容包括：①开机保障率保证措施 ②维修响应保证措施③维修质量跟踪服务措施；④备品备件及维保工具； 2、评审标准：①全面性：内容全面，包括所有评审内容，无遗漏；②详细性：内容详细，针对每一评审内容能够有明确具体的描述和说明； ③合理性：内容合理，准确，符合项目实际情况，有利于项目的实施。 3、赋分标准：每一项评审内容满足每一项评审标准得1分，最多得12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供应商针对设备出现不同故障等级有详细的应急措施和解决方案。内容包含： ①受理方法； ②处理流程； ③技术人员响应时间； ④应急突发状况处置措施。 满分4分，每缺少一项内容扣1分，扣完为止。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人员能力</w:t>
            </w:r>
          </w:p>
        </w:tc>
        <w:tc>
          <w:tcPr>
            <w:tcW w:type="dxa" w:w="2492"/>
          </w:tcPr>
          <w:p>
            <w:pPr>
              <w:pStyle w:val="null3"/>
            </w:pPr>
            <w:r>
              <w:rPr>
                <w:rFonts w:ascii="仿宋_GB2312" w:hAnsi="仿宋_GB2312" w:cs="仿宋_GB2312" w:eastAsia="仿宋_GB2312"/>
              </w:rPr>
              <w:t>①拟派维保人员为2人，所有人员均须具设备厂商培训合格证书或原厂授权的工程师证明得2分。人员数量不足或未提供设备厂商培训合格证书或原厂授权的工程师证明不得分。 ②在2人的基础上每多安排一名人员加3分，最多加6分；人员须具设备厂商培训合格证书或原厂授权的工程师证明。未提供或无证明材料不计分。 ③拟派人员中具有大专及以上学历的，每有一人具备得1.5分最高得3分； ④拟派人员中每具备相关专业中级及以上工程师资格1人的得3分，最高得9分。 （证明材料包含但不限于人员身份证、学历证明、培训证书或原厂授权的工程师证明、职称证等材料）。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1、供应商提供完整、可行的培训方案，培训内容完整详细，切实可行；培训课时安排合理；拟派培训人员经验丰富，包含： ①具体培训方式 ②培训内容及课时 ③培训的预期效果 2、评审标准：①全面性：内容全面，包括所有评审内容，无遗漏；②详细性：内容详细，针对每一评审内容能够有明确具体的描述和说明； ③合理性：内容合理，准确，符合项目实际情况，有利于项目的实施。 3、赋分标准：每一项评审内容满足每一项评审标准得1分，最多得9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提供同类型设备维保业绩（业绩清单、对应合同），每提供一份有效合同复印件得2分,最多10分。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服务内容及要求</w:t>
            </w:r>
          </w:p>
        </w:tc>
        <w:tc>
          <w:tcPr>
            <w:tcW w:type="dxa" w:w="2492"/>
          </w:tcPr>
          <w:p>
            <w:pPr>
              <w:pStyle w:val="null3"/>
            </w:pPr>
            <w:r>
              <w:rPr>
                <w:rFonts w:ascii="仿宋_GB2312" w:hAnsi="仿宋_GB2312" w:cs="仿宋_GB2312" w:eastAsia="仿宋_GB2312"/>
              </w:rPr>
              <w:t>满足第三章3.2.2服务要求2-9共8项，每满足一项服务内容得1.5分，最高得12分。其中第5条需提供证明材料，未提供证明材料不得分。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1.价格分统一采用低价优先法计算，既满足磋商文件要求且最后报价最低的供应商的价格为磋商基准价，其价格分为满分； 2.其他供应商的价格分统一按照下列公式计算： 磋商报价得分=（磋商基准价/最后磋商报价）×15。 3.供应商享受相关价格优惠政策的，优惠后的价格作为其磋商报价参与计算。</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详见附件：咸阳市中心医院医疗设备维保合同.docx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