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版本号：ZCSP-渭南市-2026-00143、DRZB2026-ZC-147.2B120260612001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车用柴油.电动自行车及主要配件.危险化学品.燃气灶及配件消防产品.保温材料等产品质量监督抽检项目(二次)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ZCSP-渭南市-2026-00143、DRZB2026-ZC-147.2B1</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车用柴油.电动自行车及主要配件.危险化学品.燃气灶及配件消防产品.保温材料等产品质量监督抽检项目(二次)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ZCSP-渭南市-2026-00143、DRZB2026-ZC-147.2B1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车用柴油.电动自行车及主要配件.危险化学品.燃气灶及配件消防产品.保温材料等产品质量监督抽检项目(二次)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电动自行车及主要配件.危险化学品.纺织品等产品质量监督抽检项目，具体详见采购文件。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采购包1（电动自行车及主要配件、危险化学品、纺织品等产品质量监督抽检项目）：属于专门面向中小企业采购。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陈学峰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0913-2933583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采购包1保证金金额：3,847.00元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各采购包成交供应商在领取成交通知书前一次性支付，如本项目各采购包代理服务费不足叁仟元则按叁仟元收取。 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电动自行车及主要配件.危险化学品.纺织品等产品质量监督抽检项目，具体详见采购文件。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电动自行车及主要配件.危险化学品.纺织品等产品质量监督抽检项目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标的名称：电动自行车及主要配件.危险化学品.纺织品等产品质量监督抽检项目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1、功能要求：招标确定一家国家批准认证的第三方承检机构完成我局车用柴油、电动自行车及主要配件、危险化学品、燃气灶及配件消防产品、保温材料等产品质量监督抽检任务。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 《电动自行车安全技术规范》（GB 17761-2024）、《电动自行车电气安全要求》（GB42295-2022）、《电动自行车用锂离子蓄电池安全技术规范》（GB 43854-2024）、《电动自行车用锂离子蓄电池》GB /T36972-2018、《电动自行车用锂离子蓄电池及充电器第3部分：锂离子蓄电池及充电器》QB /T2947.3-2008、《电动助力车用阀控式铅酸蓄电池第1部分：技术条件》GB /T22199.1-2017、《电动自行车用充电器安全技术要求》GB 42296-2022、《电动自行车用充电器技术要求》GB/T 36944-2018、《醇基液体燃料》GB16663--1996（2004）、《工业用甲醇》 GB 338-2011、《M100车用甲醇燃料》GB/T42416--2023、《副产盐酸》HG/T3783--2021、《工业硫酸》 GB/T534--2014、《正丁醇》GB/T6027-2023 、《液体无水氨》BG/T536--2017、《溶解乙炔》GB/T6819--2004、《羊绒衫》FZ/T 73009-2021 、《羊毛衫》FZ/T 73005-2021 、《羽绒服》FZ/T 73053-2015 等相关要求，开展抽样检验工作。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vMerge w:val="restart"/>
                </w:tcPr>
                <w:p>
                  <w:pPr>
                    <w:pStyle w:val="null3"/>
                  </w:pPr>
                  <w:r>
                    <w:rPr>
                      <w:rFonts w:ascii="仿宋_GB2312" w:hAnsi="仿宋_GB2312" w:cs="仿宋_GB2312" w:eastAsia="仿宋_GB2312"/>
                    </w:rPr>
                    <w:t>序号</w:t>
                  </w:r>
                </w:p>
              </w:tc>
              <w:tc>
                <w:tcPr>
                  <w:tcW w:type="dxa" w:w="365"/>
                  <w:vMerge w:val="restart"/>
                </w:tcPr>
                <w:p>
                  <w:pPr>
                    <w:pStyle w:val="null3"/>
                  </w:pPr>
                  <w:r>
                    <w:rPr>
                      <w:rFonts w:ascii="仿宋_GB2312" w:hAnsi="仿宋_GB2312" w:cs="仿宋_GB2312" w:eastAsia="仿宋_GB2312"/>
                    </w:rPr>
                    <w:t>标项名称</w:t>
                  </w:r>
                </w:p>
              </w:tc>
              <w:tc>
                <w:tcPr>
                  <w:tcW w:type="dxa" w:w="365"/>
                  <w:vMerge w:val="restart"/>
                </w:tcPr>
                <w:p>
                  <w:pPr>
                    <w:pStyle w:val="null3"/>
                  </w:pPr>
                  <w:r>
                    <w:rPr>
                      <w:rFonts w:ascii="仿宋_GB2312" w:hAnsi="仿宋_GB2312" w:cs="仿宋_GB2312" w:eastAsia="仿宋_GB2312"/>
                    </w:rPr>
                    <w:t>采购数量</w:t>
                  </w:r>
                </w:p>
              </w:tc>
              <w:tc>
                <w:tcPr>
                  <w:tcW w:type="dxa" w:w="1095"/>
                  <w:gridSpan w:val="3"/>
                </w:tcPr>
                <w:p>
                  <w:pPr>
                    <w:pStyle w:val="null3"/>
                  </w:pPr>
                  <w:r>
                    <w:rPr>
                      <w:rFonts w:ascii="仿宋_GB2312" w:hAnsi="仿宋_GB2312" w:cs="仿宋_GB2312" w:eastAsia="仿宋_GB2312"/>
                    </w:rPr>
                    <w:t>简要技术要求、用途</w:t>
                  </w:r>
                </w:p>
              </w:tc>
              <w:tc>
                <w:tcPr>
                  <w:tcW w:type="dxa" w:w="365"/>
                  <w:vMerge w:val="restart"/>
                </w:tcPr>
                <w:p>
                  <w:pPr>
                    <w:pStyle w:val="null3"/>
                  </w:pPr>
                  <w:r>
                    <w:rPr>
                      <w:rFonts w:ascii="仿宋_GB2312" w:hAnsi="仿宋_GB2312" w:cs="仿宋_GB2312" w:eastAsia="仿宋_GB2312"/>
                    </w:rPr>
                    <w:t>备注</w:t>
                  </w:r>
                </w:p>
              </w:tc>
            </w:tr>
            <w:tr>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名称</w:t>
                  </w:r>
                </w:p>
              </w:tc>
              <w:tc>
                <w:tcPr>
                  <w:tcW w:type="dxa" w:w="730"/>
                  <w:gridSpan w:val="2"/>
                </w:tcPr>
                <w:p>
                  <w:pPr>
                    <w:pStyle w:val="null3"/>
                  </w:pPr>
                  <w:r>
                    <w:rPr>
                      <w:rFonts w:ascii="仿宋_GB2312" w:hAnsi="仿宋_GB2312" w:cs="仿宋_GB2312" w:eastAsia="仿宋_GB2312"/>
                    </w:rPr>
                    <w:t>数量</w:t>
                  </w:r>
                </w:p>
              </w:tc>
            </w:tr>
            <w:tr>
              <w:tc>
                <w:tcPr>
                  <w:tcW w:type="dxa" w:w="365"/>
                  <w:vMerge w:val="restart"/>
                </w:tcPr>
                <w:p>
                  <w:pPr>
                    <w:pStyle w:val="null3"/>
                  </w:pPr>
                  <w:r>
                    <w:rPr>
                      <w:rFonts w:ascii="仿宋_GB2312" w:hAnsi="仿宋_GB2312" w:cs="仿宋_GB2312" w:eastAsia="仿宋_GB2312"/>
                    </w:rPr>
                    <w:t>1</w:t>
                  </w:r>
                </w:p>
              </w:tc>
              <w:tc>
                <w:tcPr>
                  <w:tcW w:type="dxa" w:w="365"/>
                  <w:vMerge w:val="restart"/>
                </w:tcPr>
                <w:p>
                  <w:pPr>
                    <w:pStyle w:val="null3"/>
                  </w:pPr>
                  <w:r>
                    <w:rPr>
                      <w:rFonts w:ascii="仿宋_GB2312" w:hAnsi="仿宋_GB2312" w:cs="仿宋_GB2312" w:eastAsia="仿宋_GB2312"/>
                    </w:rPr>
                    <w:t>电动自行车及主要配件、危险化学品、纺织品等产品质量监督抽检项目</w:t>
                  </w:r>
                </w:p>
                <w:p>
                  <w:pPr>
                    <w:pStyle w:val="null3"/>
                  </w:pPr>
                  <w:r>
                    <w:rPr>
                      <w:rFonts w:ascii="仿宋_GB2312" w:hAnsi="仿宋_GB2312" w:cs="仿宋_GB2312" w:eastAsia="仿宋_GB2312"/>
                    </w:rPr>
                    <w:t xml:space="preserve"> </w:t>
                  </w:r>
                </w:p>
              </w:tc>
              <w:tc>
                <w:tcPr>
                  <w:tcW w:type="dxa" w:w="365"/>
                  <w:vMerge w:val="restart"/>
                </w:tcPr>
                <w:p>
                  <w:pPr>
                    <w:pStyle w:val="null3"/>
                  </w:pPr>
                  <w:r>
                    <w:rPr>
                      <w:rFonts w:ascii="仿宋_GB2312" w:hAnsi="仿宋_GB2312" w:cs="仿宋_GB2312" w:eastAsia="仿宋_GB2312"/>
                    </w:rPr>
                    <w:t>1家</w:t>
                  </w:r>
                </w:p>
              </w:tc>
              <w:tc>
                <w:tcPr>
                  <w:tcW w:type="dxa" w:w="730"/>
                  <w:gridSpan w:val="2"/>
                </w:tcPr>
                <w:p>
                  <w:pPr>
                    <w:pStyle w:val="null3"/>
                  </w:pPr>
                  <w:r>
                    <w:rPr>
                      <w:rFonts w:ascii="仿宋_GB2312" w:hAnsi="仿宋_GB2312" w:cs="仿宋_GB2312" w:eastAsia="仿宋_GB2312"/>
                    </w:rPr>
                    <w:t>电动自行车</w:t>
                  </w:r>
                </w:p>
              </w:tc>
              <w:tc>
                <w:tcPr>
                  <w:tcW w:type="dxa" w:w="365"/>
                </w:tcPr>
                <w:p>
                  <w:pPr>
                    <w:pStyle w:val="null3"/>
                  </w:pPr>
                  <w:r>
                    <w:rPr>
                      <w:rFonts w:ascii="仿宋_GB2312" w:hAnsi="仿宋_GB2312" w:cs="仿宋_GB2312" w:eastAsia="仿宋_GB2312"/>
                    </w:rPr>
                    <w:t>在销售单位抽取15个样品</w:t>
                  </w:r>
                </w:p>
              </w:tc>
              <w:tc>
                <w:tcPr>
                  <w:tcW w:type="dxa" w:w="365"/>
                  <w:vMerge w:val="restart"/>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电动自行车电池</w:t>
                  </w:r>
                </w:p>
              </w:tc>
              <w:tc>
                <w:tcPr>
                  <w:tcW w:type="dxa" w:w="365"/>
                </w:tcPr>
                <w:p>
                  <w:pPr>
                    <w:pStyle w:val="null3"/>
                  </w:pPr>
                  <w:r>
                    <w:rPr>
                      <w:rFonts w:ascii="仿宋_GB2312" w:hAnsi="仿宋_GB2312" w:cs="仿宋_GB2312" w:eastAsia="仿宋_GB2312"/>
                    </w:rPr>
                    <w:t>在销售单位抽取10个样品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电动自行车充电器</w:t>
                  </w:r>
                </w:p>
              </w:tc>
              <w:tc>
                <w:tcPr>
                  <w:tcW w:type="dxa" w:w="365"/>
                </w:tcPr>
                <w:p>
                  <w:pPr>
                    <w:pStyle w:val="null3"/>
                  </w:pPr>
                  <w:r>
                    <w:rPr>
                      <w:rFonts w:ascii="仿宋_GB2312" w:hAnsi="仿宋_GB2312" w:cs="仿宋_GB2312" w:eastAsia="仿宋_GB2312"/>
                    </w:rPr>
                    <w:t>在销售单位抽取10个样品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危险化学品（副产盐酸、工业硫酸、正丁醇、液体无水氨、溶解乙炔等）</w:t>
                  </w:r>
                </w:p>
              </w:tc>
              <w:tc>
                <w:tcPr>
                  <w:tcW w:type="dxa" w:w="365"/>
                </w:tcPr>
                <w:p>
                  <w:pPr>
                    <w:pStyle w:val="null3"/>
                  </w:pPr>
                  <w:r>
                    <w:rPr>
                      <w:rFonts w:ascii="仿宋_GB2312" w:hAnsi="仿宋_GB2312" w:cs="仿宋_GB2312" w:eastAsia="仿宋_GB2312"/>
                    </w:rPr>
                    <w:t>在生产销售单位抽取12个样品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危险化学品（醇基燃料、工业甲醇、车用醇基燃料）</w:t>
                  </w:r>
                </w:p>
              </w:tc>
              <w:tc>
                <w:tcPr>
                  <w:tcW w:type="dxa" w:w="365"/>
                </w:tcPr>
                <w:p>
                  <w:pPr>
                    <w:pStyle w:val="null3"/>
                  </w:pPr>
                  <w:r>
                    <w:rPr>
                      <w:rFonts w:ascii="仿宋_GB2312" w:hAnsi="仿宋_GB2312" w:cs="仿宋_GB2312" w:eastAsia="仿宋_GB2312"/>
                    </w:rPr>
                    <w:t>在生产销售单位抽取10个样品</w:t>
                  </w:r>
                </w:p>
              </w:tc>
            </w:tr>
            <w:tr>
              <w:tc>
                <w:tcPr>
                  <w:tcW w:type="dxa" w:w="365"/>
                  <w:vMerge/>
                </w:tcPr>
                <w:p/>
              </w:tc>
              <w:tc>
                <w:tcPr>
                  <w:tcW w:type="dxa" w:w="365"/>
                  <w:vMerge/>
                </w:tcPr>
                <w:p/>
              </w:tc>
              <w:tc>
                <w:tcPr>
                  <w:tcW w:type="dxa" w:w="365"/>
                  <w:vMerge/>
                </w:tcPr>
                <w:p/>
              </w:tc>
              <w:tc>
                <w:tcPr>
                  <w:tcW w:type="dxa" w:w="730"/>
                  <w:gridSpan w:val="2"/>
                </w:tcPr>
                <w:p>
                  <w:pPr>
                    <w:pStyle w:val="null3"/>
                  </w:pPr>
                  <w:r>
                    <w:rPr>
                      <w:rFonts w:ascii="仿宋_GB2312" w:hAnsi="仿宋_GB2312" w:cs="仿宋_GB2312" w:eastAsia="仿宋_GB2312"/>
                    </w:rPr>
                    <w:t>纺织品（羊绒衫、羊毛衫、羽绒服）</w:t>
                  </w:r>
                </w:p>
              </w:tc>
              <w:tc>
                <w:tcPr>
                  <w:tcW w:type="dxa" w:w="365"/>
                </w:tcPr>
                <w:p>
                  <w:pPr>
                    <w:pStyle w:val="null3"/>
                  </w:pPr>
                  <w:r>
                    <w:rPr>
                      <w:rFonts w:ascii="仿宋_GB2312" w:hAnsi="仿宋_GB2312" w:cs="仿宋_GB2312" w:eastAsia="仿宋_GB2312"/>
                    </w:rPr>
                    <w:t>在生产销售单位抽取20个样品</w:t>
                  </w: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本采购包预算200000元，包括但不限于本次项目所需采样费、检测费、设备费、劳务费、机械费、材料费、管理费、利润、税金、政策性文件规定的各项应有费用。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电动自行车产品质量检测：4130元/批次；电动自行车电池产品质量检测：2140元/批次；电动自行车充电器产品质量检测：1960元/批次；副产盐酸产品质量检测：2660元/批次；工业硫酸产品质量检测：3390元/批次；正丁醇、液体无水氨、溶解乙炔产品质量检测：3800元/批次；醇基燃料（车用醇基燃料）产品质量检测：2860元/批次；甲醇产品质量检测：3860元/批次；羊绒衫、羊毛衫产品质量检测：2230元/批次；羽绒服产品质量检测：2350元/批次；各供应商磋商报价不得超过总价及各分项的单价最高限价，否则视为无效报价。</w:t>
            </w:r>
          </w:p>
          <w:p>
            <w:pPr>
              <w:pStyle w:val="null3"/>
            </w:pPr>
            <w:r>
              <w:rPr>
                <w:rFonts w:ascii="仿宋_GB2312" w:hAnsi="仿宋_GB2312" w:cs="仿宋_GB2312" w:eastAsia="仿宋_GB2312"/>
              </w:rPr>
              <w:t>电动自行车及主要配件、危险化学品、纺织品等产品质量监督抽检项目最终结算金额=电动自行车电池产品质量检测费用+电动自行车充电器产品质量检测费用+副产盐酸产品质量检测费用+工业硫酸产品质量检测费用+正丁醇、液体无水氨、溶解乙炔产品质量检测费用+醇基燃料（车用醇基燃料）产品质量检测费用+甲醇产品质量检测费用+羊绒衫、羊毛衫产品质量检测费用+羽绒服产品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电动自行车及主要配件、危险化学品、纺织品等产品质量监督抽检项目最终结算金额=电动自行车电池产品质量检测费用+电动自行车充电器产品质量检测费用+副产盐酸产品质量检测费用+工业硫酸产品质量检测费用+正丁醇、液体无水氨、溶解乙炔产品质量检测费用+醇基燃料（车用醇基燃料）产品质量检测费用+甲醇产品质量检测费用+羊绒衫、羊毛衫产品质量检测费用+羽绒服产品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合同签订之日起至2026年11月30日（具体以合同签订时间为准）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渭南市区域范围内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递交地点：渭南市公共资源交易中心西配楼公共资源交易中心大厅，联系人：韩工13709225739）。若电子版响应文件与纸质版响应文件不一致的，以陕西省政府采购电子化交易平台上传的电子版响应文件为准。 2、原《车用柴油.电动自行车及主要配件.危险化学品.燃气灶及配件消防产品.保温材料等产品质量监督抽检项目》合同包1、合同包3已成交单位不具备成交候选人推荐资格。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报价一览表.docx 检测方案.docx 售后服务方案.docx 业绩.docx 检验项目覆盖率.docx 供应商认为有必要说明的其他资料.docx 中小企业声明函 项目团队专业能力.docx 项目实施方案.docx 服务偏离表.docx 资格证明文件.docx 团队经验及人员培训.docx 样品运输车辆配备情况.docx 响应文件封面 实验室规模包docx 分项报价表.docx 服务质量保障措施.docx 残疾人福利性单位声明函 标的清单 保证金缴纳凭证.docx 响应函 商务偏离表.docx 监狱企业的证明文件 仪器设备配备.docx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检测方案.docx 售后服务方案.docx 业绩.docx 检验项目覆盖率.docx 供应商认为有必要说明的其他资料.docx 中小企业声明函 项目团队专业能力.docx 项目实施方案.docx 服务偏离表.docx 资格证明文件.docx 团队经验及人员培训.docx 样品运输车辆配备情况.docx 响应文件封面 实验室规模包docx 分项报价表.docx 服务质量保障措施.docx 残疾人福利性单位声明函 标的清单 保证金缴纳凭证.docx 响应函 商务偏离表.docx 监狱企业的证明文件 仪器设备配备.docx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报价一览表.docx 检测方案.docx 售后服务方案.docx 业绩.docx 检验项目覆盖率.docx 供应商认为有必要说明的其他资料.docx 中小企业声明函 项目团队专业能力.docx 项目实施方案.docx 服务偏离表.docx 资格证明文件.docx 团队经验及人员培训.docx 样品运输车辆配备情况.docx 响应文件封面 实验室规模包docx 分项报价表.docx 服务质量保障措施.docx 残疾人福利性单位声明函 标的清单 保证金缴纳凭证.docx 响应函 商务偏离表.docx 监狱企业的证明文件 仪器设备配备.docx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详见附件：检测方案.docx</w:t>
      </w:r>
    </w:p>
    <w:p>
      <w:pPr>
        <w:pStyle w:val="null3"/>
        <w:ind w:firstLine="960"/>
      </w:pPr>
      <w:r>
        <w:rPr>
          <w:rFonts w:ascii="仿宋_GB2312" w:hAnsi="仿宋_GB2312" w:cs="仿宋_GB2312" w:eastAsia="仿宋_GB2312"/>
        </w:rPr>
        <w:t>详见附件：服务质量保障措施.docx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详见附件：仪器设备配备.docx</w:t>
      </w:r>
    </w:p>
    <w:p>
      <w:pPr>
        <w:pStyle w:val="null3"/>
        <w:ind w:firstLine="960"/>
      </w:pPr>
      <w:r>
        <w:rPr>
          <w:rFonts w:ascii="仿宋_GB2312" w:hAnsi="仿宋_GB2312" w:cs="仿宋_GB2312" w:eastAsia="仿宋_GB2312"/>
        </w:rPr>
        <w:t>详见附件：样品运输车辆配备情况.docx</w:t>
      </w:r>
    </w:p>
    <w:p>
      <w:pPr>
        <w:pStyle w:val="null3"/>
        <w:ind w:firstLine="960"/>
      </w:pPr>
      <w:r>
        <w:rPr>
          <w:rFonts w:ascii="仿宋_GB2312" w:hAnsi="仿宋_GB2312" w:cs="仿宋_GB2312" w:eastAsia="仿宋_GB2312"/>
        </w:rPr>
        <w:t>详见附件：实验室规模包docx</w:t>
      </w:r>
    </w:p>
    <w:p>
      <w:pPr>
        <w:pStyle w:val="null3"/>
        <w:ind w:firstLine="960"/>
      </w:pPr>
      <w:r>
        <w:rPr>
          <w:rFonts w:ascii="仿宋_GB2312" w:hAnsi="仿宋_GB2312" w:cs="仿宋_GB2312" w:eastAsia="仿宋_GB2312"/>
        </w:rPr>
        <w:t>详见附件：项目团队专业能力.docx</w:t>
      </w:r>
    </w:p>
    <w:p>
      <w:pPr>
        <w:pStyle w:val="null3"/>
        <w:ind w:firstLine="960"/>
      </w:pPr>
      <w:r>
        <w:rPr>
          <w:rFonts w:ascii="仿宋_GB2312" w:hAnsi="仿宋_GB2312" w:cs="仿宋_GB2312" w:eastAsia="仿宋_GB2312"/>
        </w:rPr>
        <w:t>详见附件：团队经验及人员培训.docx</w:t>
      </w:r>
    </w:p>
    <w:p>
      <w:pPr>
        <w:pStyle w:val="null3"/>
        <w:ind w:firstLine="960"/>
      </w:pPr>
      <w:r>
        <w:rPr>
          <w:rFonts w:ascii="仿宋_GB2312" w:hAnsi="仿宋_GB2312" w:cs="仿宋_GB2312" w:eastAsia="仿宋_GB2312"/>
        </w:rPr>
        <w:t>详见附件：检验项目覆盖率.docx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